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自贡市残疾人联合会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2021</w:t>
      </w:r>
      <w:r>
        <w:rPr>
          <w:rFonts w:hint="eastAsia" w:ascii="方正小标宋简体" w:eastAsia="方正小标宋简体"/>
          <w:sz w:val="44"/>
          <w:szCs w:val="44"/>
        </w:rPr>
        <w:t>年度部门决算编制的说明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10"/>
        <w:spacing w:line="500" w:lineRule="exact"/>
        <w:jc w:val="center"/>
        <w:rPr>
          <w:rFonts w:hint="eastAsia" w:ascii="仿宋_GB2312" w:eastAsia="仿宋_GB2312"/>
          <w:i w:val="0"/>
          <w:color w:val="FF0000"/>
          <w:sz w:val="32"/>
        </w:rPr>
      </w:pPr>
      <w:r>
        <w:rPr>
          <w:rFonts w:hint="eastAsia" w:ascii="仿宋_GB2312" w:eastAsia="仿宋_GB2312"/>
          <w:i w:val="0"/>
          <w:color w:val="000000" w:themeColor="text1"/>
          <w:sz w:val="32"/>
          <w14:textFill>
            <w14:solidFill>
              <w14:schemeClr w14:val="tx1"/>
            </w14:solidFill>
          </w14:textFill>
        </w:rPr>
        <w:t>公开时间：202</w:t>
      </w:r>
      <w:r>
        <w:rPr>
          <w:rFonts w:hint="eastAsia" w:ascii="仿宋_GB2312" w:eastAsia="仿宋_GB2312"/>
          <w:i w:val="0"/>
          <w:color w:val="000000" w:themeColor="text1"/>
          <w:sz w:val="32"/>
          <w:lang w:val="en-US" w:eastAsia="zh-CN"/>
          <w14:textFill>
            <w14:solidFill>
              <w14:schemeClr w14:val="tx1"/>
            </w14:solidFill>
          </w14:textFill>
        </w:rPr>
        <w:t>2</w:t>
      </w:r>
      <w:r>
        <w:rPr>
          <w:rFonts w:hint="eastAsia" w:ascii="仿宋_GB2312" w:eastAsia="仿宋_GB2312"/>
          <w:i w:val="0"/>
          <w:color w:val="000000" w:themeColor="text1"/>
          <w:sz w:val="32"/>
          <w14:textFill>
            <w14:solidFill>
              <w14:schemeClr w14:val="tx1"/>
            </w14:solidFill>
          </w14:textFill>
        </w:rPr>
        <w:t>年9月</w:t>
      </w:r>
      <w:r>
        <w:rPr>
          <w:rFonts w:hint="eastAsia" w:ascii="仿宋_GB2312" w:eastAsia="仿宋_GB2312"/>
          <w:i w:val="0"/>
          <w:color w:val="000000" w:themeColor="text1"/>
          <w:sz w:val="32"/>
          <w:lang w:val="en-US" w:eastAsia="zh-CN"/>
          <w14:textFill>
            <w14:solidFill>
              <w14:schemeClr w14:val="tx1"/>
            </w14:solidFill>
          </w14:textFill>
        </w:rPr>
        <w:t>30</w:t>
      </w:r>
      <w:r>
        <w:rPr>
          <w:rFonts w:hint="eastAsia" w:ascii="仿宋_GB2312" w:eastAsia="仿宋_GB2312"/>
          <w:i w:val="0"/>
          <w:color w:val="000000" w:themeColor="text1"/>
          <w:sz w:val="32"/>
          <w14:textFill>
            <w14:solidFill>
              <w14:schemeClr w14:val="tx1"/>
            </w14:solidFill>
          </w14:textFill>
        </w:rPr>
        <w:t>日</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_Toc10567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第一部分 部门概况</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rPr>
        <w:fldChar w:fldCharType="begin"/>
      </w:r>
      <w:r>
        <w:rPr>
          <w:rFonts w:hint="eastAsia" w:ascii="仿宋_GB2312" w:hAnsi="仿宋_GB2312" w:eastAsia="仿宋_GB2312" w:cs="仿宋_GB2312"/>
          <w:b w:val="0"/>
          <w:bCs w:val="0"/>
          <w:i w:val="0"/>
          <w:iCs w:val="0"/>
          <w:sz w:val="28"/>
          <w:szCs w:val="28"/>
        </w:rPr>
        <w:instrText xml:space="preserve"> PAGEREF _Toc10567 \h </w:instrText>
      </w:r>
      <w:r>
        <w:rPr>
          <w:rFonts w:hint="eastAsia" w:ascii="仿宋_GB2312" w:hAnsi="仿宋_GB2312" w:eastAsia="仿宋_GB2312" w:cs="仿宋_GB2312"/>
          <w:b w:val="0"/>
          <w:bCs w:val="0"/>
          <w:i w:val="0"/>
          <w:iCs w:val="0"/>
          <w:sz w:val="28"/>
          <w:szCs w:val="28"/>
        </w:rPr>
        <w:fldChar w:fldCharType="separate"/>
      </w:r>
      <w:r>
        <w:rPr>
          <w:rFonts w:hint="eastAsia" w:ascii="仿宋_GB2312" w:hAnsi="仿宋_GB2312" w:eastAsia="仿宋_GB2312" w:cs="仿宋_GB2312"/>
          <w:b w:val="0"/>
          <w:bCs w:val="0"/>
          <w:i w:val="0"/>
          <w:iCs w:val="0"/>
          <w:sz w:val="28"/>
          <w:szCs w:val="28"/>
        </w:rPr>
        <w:t>3</w:t>
      </w:r>
      <w:r>
        <w:rPr>
          <w:rFonts w:hint="eastAsia" w:ascii="仿宋_GB2312" w:hAnsi="仿宋_GB2312" w:eastAsia="仿宋_GB2312" w:cs="仿宋_GB2312"/>
          <w:b w:val="0"/>
          <w:bCs w:val="0"/>
          <w:i w:val="0"/>
          <w:iCs w:val="0"/>
          <w:sz w:val="28"/>
          <w:szCs w:val="28"/>
        </w:rPr>
        <w:fldChar w:fldCharType="end"/>
      </w:r>
      <w:r>
        <w:rPr>
          <w:rFonts w:hint="eastAsia" w:ascii="仿宋_GB2312" w:hAnsi="仿宋_GB2312" w:eastAsia="仿宋_GB2312" w:cs="仿宋_GB2312"/>
          <w:b w:val="0"/>
          <w:bCs w:val="0"/>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_Toc21498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一、基本职能及主要工作</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3</w:t>
      </w:r>
      <w:r>
        <w:rPr>
          <w:rFonts w:hint="eastAsia" w:ascii="仿宋_GB2312" w:hAnsi="仿宋_GB2312" w:eastAsia="仿宋_GB2312" w:cs="仿宋_GB2312"/>
          <w:b w:val="0"/>
          <w:bCs w:val="0"/>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_Toc6092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二、机构设置</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6</w:t>
      </w:r>
      <w:r>
        <w:rPr>
          <w:rFonts w:hint="eastAsia" w:ascii="仿宋_GB2312" w:hAnsi="仿宋_GB2312" w:eastAsia="仿宋_GB2312" w:cs="仿宋_GB2312"/>
          <w:b w:val="0"/>
          <w:bCs w:val="0"/>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_Toc23109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第二部分 202</w:t>
      </w:r>
      <w:r>
        <w:rPr>
          <w:rFonts w:hint="eastAsia" w:ascii="仿宋_GB2312" w:hAnsi="仿宋_GB2312" w:eastAsia="仿宋_GB2312" w:cs="仿宋_GB2312"/>
          <w:b w:val="0"/>
          <w:bCs w:val="0"/>
          <w:i w:val="0"/>
          <w:iCs w:val="0"/>
          <w:sz w:val="28"/>
          <w:szCs w:val="28"/>
          <w:lang w:val="en-US" w:eastAsia="zh-CN"/>
        </w:rPr>
        <w:t>1</w:t>
      </w:r>
      <w:r>
        <w:rPr>
          <w:rFonts w:hint="eastAsia" w:ascii="仿宋_GB2312" w:hAnsi="仿宋_GB2312" w:eastAsia="仿宋_GB2312" w:cs="仿宋_GB2312"/>
          <w:b w:val="0"/>
          <w:bCs w:val="0"/>
          <w:i w:val="0"/>
          <w:iCs w:val="0"/>
          <w:sz w:val="28"/>
          <w:szCs w:val="28"/>
        </w:rPr>
        <w:t>年度部门决算情况说明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7</w:t>
      </w:r>
      <w:r>
        <w:rPr>
          <w:rFonts w:hint="eastAsia" w:ascii="仿宋_GB2312" w:hAnsi="仿宋_GB2312" w:eastAsia="仿宋_GB2312" w:cs="仿宋_GB2312"/>
          <w:b w:val="0"/>
          <w:bCs w:val="0"/>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_Toc7163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一、 收入支出决算总体情况说明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7</w:t>
      </w:r>
      <w:r>
        <w:rPr>
          <w:rFonts w:hint="eastAsia" w:ascii="仿宋_GB2312" w:hAnsi="仿宋_GB2312" w:eastAsia="仿宋_GB2312" w:cs="仿宋_GB2312"/>
          <w:b w:val="0"/>
          <w:bCs w:val="0"/>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_Toc25258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二、 收入决算情况说明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7</w:t>
      </w:r>
      <w:r>
        <w:rPr>
          <w:rFonts w:hint="eastAsia" w:ascii="仿宋_GB2312" w:hAnsi="仿宋_GB2312" w:eastAsia="仿宋_GB2312" w:cs="仿宋_GB2312"/>
          <w:b w:val="0"/>
          <w:bCs w:val="0"/>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_Toc13725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三、 支出决算情况说明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8</w:t>
      </w:r>
      <w:r>
        <w:rPr>
          <w:rFonts w:hint="eastAsia" w:ascii="仿宋_GB2312" w:hAnsi="仿宋_GB2312" w:eastAsia="仿宋_GB2312" w:cs="仿宋_GB2312"/>
          <w:b w:val="0"/>
          <w:bCs w:val="0"/>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_Toc10354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四、财政拨款收入支出决算总体情况说明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9</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_Toc10967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五、一般公共预算财政拨款支出决算情况说明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9</w:t>
      </w:r>
      <w:r>
        <w:rPr>
          <w:rFonts w:hint="eastAsia" w:ascii="仿宋_GB2312" w:hAnsi="仿宋_GB2312" w:eastAsia="仿宋_GB2312" w:cs="仿宋_GB2312"/>
          <w:b w:val="0"/>
          <w:bCs w:val="0"/>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_Toc31021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六、一般公共预算财政拨款基本支出决算情况说明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1</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_Toc6926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七、“三公”经费财政拨款支出决算情况说明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1</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_Toc9843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八、政府性基金预算支出决算情况说明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1</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_Toc10775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九、 国有资本经营预算支出决算情况说明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1</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_Toc738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十、其他重要事项的情况说明</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1</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5</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_Toc3536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第三部分 名词解释</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1</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7</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_Toc11207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第四部分 附件</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2</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1</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_Toc22930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附件1</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2</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1</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_Toc11602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附件2</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2</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7</w:t>
      </w:r>
    </w:p>
    <w:p>
      <w:pPr>
        <w:pStyle w:val="11"/>
        <w:tabs>
          <w:tab w:val="right" w:leader="dot" w:pos="8306"/>
        </w:tabs>
        <w:spacing w:line="560" w:lineRule="exact"/>
        <w:rPr>
          <w:rFonts w:hint="eastAsia" w:eastAsia="仿宋_GB2312"/>
          <w:lang w:val="en-US" w:eastAsia="zh-CN"/>
        </w:rPr>
      </w:pPr>
      <w:r>
        <w:fldChar w:fldCharType="begin"/>
      </w:r>
      <w:r>
        <w:instrText xml:space="preserve"> HYPERLINK \l "_Toc31900874" </w:instrText>
      </w:r>
      <w:r>
        <w:fldChar w:fldCharType="separate"/>
      </w:r>
      <w:r>
        <w:rPr>
          <w:rFonts w:hint="eastAsia" w:ascii="仿宋_GB2312" w:hAnsi="仿宋_GB2312" w:eastAsia="仿宋_GB2312" w:cs="仿宋_GB2312"/>
          <w:b w:val="0"/>
          <w:sz w:val="28"/>
          <w:szCs w:val="28"/>
          <w:lang w:bidi="ar"/>
        </w:rPr>
        <w:t>附件3</w:t>
      </w:r>
      <w:r>
        <w:rPr>
          <w:rFonts w:hint="eastAsia" w:ascii="仿宋_GB2312" w:hAnsi="仿宋_GB2312" w:eastAsia="仿宋_GB2312" w:cs="仿宋_GB2312"/>
          <w:b w:val="0"/>
          <w:sz w:val="28"/>
          <w:szCs w:val="28"/>
        </w:rPr>
        <w:tab/>
      </w:r>
      <w:r>
        <w:rPr>
          <w:rFonts w:hint="eastAsia" w:ascii="仿宋_GB2312" w:hAnsi="仿宋_GB2312" w:eastAsia="仿宋_GB2312" w:cs="仿宋_GB2312"/>
          <w:b w:val="0"/>
          <w:sz w:val="28"/>
          <w:szCs w:val="28"/>
          <w:lang w:val="en-US" w:eastAsia="zh-CN"/>
        </w:rPr>
        <w:t>3</w:t>
      </w:r>
      <w:r>
        <w:rPr>
          <w:rFonts w:hint="eastAsia" w:ascii="仿宋_GB2312" w:hAnsi="仿宋_GB2312" w:eastAsia="仿宋_GB2312" w:cs="仿宋_GB2312"/>
          <w:b w:val="0"/>
          <w:sz w:val="28"/>
          <w:szCs w:val="28"/>
        </w:rPr>
        <w:fldChar w:fldCharType="end"/>
      </w:r>
      <w:r>
        <w:rPr>
          <w:rFonts w:hint="eastAsia" w:ascii="仿宋_GB2312" w:hAnsi="仿宋_GB2312" w:eastAsia="仿宋_GB2312" w:cs="仿宋_GB2312"/>
          <w:b w:val="0"/>
          <w:sz w:val="28"/>
          <w:szCs w:val="28"/>
          <w:lang w:val="en-US" w:eastAsia="zh-CN"/>
        </w:rPr>
        <w:t>1</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_Toc32283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第五部分 附表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_Toc15699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一、收入支出决算总表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_Toc27106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二、收入决算表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3</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_Toc26817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三、支出决算表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_Toc21747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四、财政拨款收入支出决算总表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_Toc12959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五、财政拨款支出决算明细表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_Toc23749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六、一般公共预算财政拨款支出决算表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sz w:val="28"/>
          <w:szCs w:val="28"/>
          <w:lang w:val="en-US" w:eastAsia="zh-CN"/>
        </w:rPr>
        <w:t>3</w:t>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_Toc22275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七、一般公共预算财政拨款支出决算明细表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_Toc30634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八、一般公共预算财政拨款基本支出决算表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_Toc15170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九、一般公共预算财政拨款项目支出决算表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_Toc17603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十、一般公共预算财政拨款“三公”经费支出决算表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_Toc7313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十一、政府性基金预算财政拨款收入支出决算表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_Toc9382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十二、政府性基金预算财政拨款“三公”经费支出决算表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_Toc22683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十三、国有资本经营预算财政拨款收入支出决算表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HYPERLINK \l _Toc10257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val="0"/>
          <w:i w:val="0"/>
          <w:iCs w:val="0"/>
          <w:sz w:val="28"/>
          <w:szCs w:val="28"/>
        </w:rPr>
        <w:t>十四、国有资本经营预算财政拨款支出决算表</w:t>
      </w:r>
      <w:r>
        <w:rPr>
          <w:rFonts w:hint="eastAsia" w:ascii="仿宋_GB2312" w:hAnsi="仿宋_GB2312" w:eastAsia="仿宋_GB2312" w:cs="仿宋_GB2312"/>
          <w:b w:val="0"/>
          <w:bCs w:val="0"/>
          <w:i w:val="0"/>
          <w:iCs w:val="0"/>
          <w:sz w:val="28"/>
          <w:szCs w:val="28"/>
        </w:rPr>
        <w:tab/>
      </w:r>
      <w:r>
        <w:rPr>
          <w:rFonts w:hint="eastAsia" w:ascii="仿宋_GB2312" w:hAnsi="仿宋_GB2312" w:eastAsia="仿宋_GB2312" w:cs="仿宋_GB2312"/>
          <w:b w:val="0"/>
          <w:bCs w:val="0"/>
          <w:i w:val="0"/>
          <w:iCs w:val="0"/>
          <w:caps/>
          <w:sz w:val="28"/>
          <w:szCs w:val="28"/>
        </w:rPr>
        <w:fldChar w:fldCharType="end"/>
      </w:r>
      <w:r>
        <w:rPr>
          <w:rFonts w:hint="eastAsia" w:ascii="仿宋_GB2312" w:hAnsi="仿宋_GB2312" w:eastAsia="仿宋_GB2312" w:cs="仿宋_GB2312"/>
          <w:b w:val="0"/>
          <w:bCs w:val="0"/>
          <w:i w:val="0"/>
          <w:iCs w:val="0"/>
          <w:caps/>
          <w:sz w:val="28"/>
          <w:szCs w:val="28"/>
          <w:lang w:val="en-US" w:eastAsia="zh-CN"/>
        </w:rPr>
        <w:t>36</w:t>
      </w:r>
    </w:p>
    <w:p>
      <w:pPr>
        <w:keepNext w:val="0"/>
        <w:keepLines w:val="0"/>
        <w:pageBreakBefore w:val="0"/>
        <w:widowControl w:val="0"/>
        <w:kinsoku/>
        <w:wordWrap/>
        <w:overflowPunct/>
        <w:topLinePunct w:val="0"/>
        <w:autoSpaceDE/>
        <w:autoSpaceDN/>
        <w:bidi w:val="0"/>
        <w:adjustRightInd/>
        <w:snapToGrid/>
        <w:spacing w:line="560" w:lineRule="exact"/>
        <w:ind w:firstLine="2100" w:firstLineChars="750"/>
        <w:textAlignment w:val="auto"/>
      </w:pPr>
      <w:r>
        <w:rPr>
          <w:rFonts w:hint="eastAsia" w:ascii="仿宋_GB2312" w:hAnsi="仿宋_GB2312" w:eastAsia="仿宋_GB2312" w:cs="仿宋_GB2312"/>
          <w:b w:val="0"/>
          <w:bCs w:val="0"/>
          <w:i w:val="0"/>
          <w:iCs w:val="0"/>
          <w:caps/>
          <w:sz w:val="28"/>
          <w:szCs w:val="28"/>
        </w:rPr>
        <w:fldChar w:fldCharType="end"/>
      </w:r>
      <w:r>
        <w:br w:type="page"/>
      </w:r>
    </w:p>
    <w:p>
      <w:pPr>
        <w:pStyle w:val="5"/>
        <w:jc w:val="center"/>
        <w:rPr>
          <w:rFonts w:ascii="黑体" w:eastAsia="黑体"/>
          <w:color w:val="000000"/>
          <w:sz w:val="32"/>
          <w:szCs w:val="32"/>
        </w:rPr>
      </w:pPr>
      <w:bookmarkStart w:id="0" w:name="_Toc10567"/>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0"/>
    </w:p>
    <w:p>
      <w:pPr>
        <w:pStyle w:val="6"/>
        <w:pageBreakBefore w:val="0"/>
        <w:widowControl w:val="0"/>
        <w:numPr>
          <w:ilvl w:val="0"/>
          <w:numId w:val="1"/>
        </w:numPr>
        <w:kinsoku/>
        <w:wordWrap/>
        <w:overflowPunct/>
        <w:topLinePunct w:val="0"/>
        <w:autoSpaceDE/>
        <w:autoSpaceDN/>
        <w:bidi w:val="0"/>
        <w:spacing w:before="0" w:after="0" w:line="560" w:lineRule="exact"/>
        <w:ind w:left="0"/>
        <w:textAlignment w:val="auto"/>
        <w:rPr>
          <w:rFonts w:hint="eastAsia" w:ascii="华文仿宋" w:hAnsi="华文仿宋" w:eastAsia="华文仿宋" w:cs="华文仿宋"/>
          <w:bCs/>
          <w:color w:val="000000"/>
          <w:sz w:val="32"/>
          <w:szCs w:val="32"/>
        </w:rPr>
      </w:pPr>
      <w:bookmarkStart w:id="1" w:name="_Toc15396600"/>
      <w:bookmarkStart w:id="2" w:name="_Toc15377197"/>
      <w:bookmarkStart w:id="3" w:name="_Toc21498"/>
      <w:r>
        <w:rPr>
          <w:rFonts w:hint="eastAsia" w:ascii="黑体" w:hAnsi="黑体" w:eastAsia="黑体"/>
          <w:b w:val="0"/>
          <w:color w:val="000000"/>
        </w:rPr>
        <w:t>基</w:t>
      </w:r>
      <w:r>
        <w:rPr>
          <w:rStyle w:val="18"/>
          <w:rFonts w:hint="eastAsia" w:ascii="黑体" w:hAnsi="黑体" w:eastAsia="黑体"/>
          <w:b w:val="0"/>
          <w:bCs w:val="0"/>
        </w:rPr>
        <w:t>本职能及主要工作</w:t>
      </w:r>
      <w:bookmarkEnd w:id="1"/>
      <w:bookmarkEnd w:id="2"/>
      <w:bookmarkEnd w:id="3"/>
      <w:bookmarkStart w:id="4" w:name="_Toc15377198"/>
      <w:bookmarkStart w:id="5" w:name="_Toc15378445"/>
      <w:r>
        <w:rPr>
          <w:rStyle w:val="18"/>
          <w:rFonts w:hint="eastAsia" w:ascii="黑体" w:hAnsi="黑体" w:eastAsia="黑体"/>
          <w:b w:val="0"/>
          <w:bCs w:val="0"/>
        </w:rPr>
        <w:br w:type="textWrapping"/>
      </w:r>
      <w:r>
        <w:rPr>
          <w:rStyle w:val="18"/>
          <w:rFonts w:hint="eastAsia" w:ascii="黑体" w:hAnsi="黑体" w:eastAsia="黑体"/>
          <w:b w:val="0"/>
          <w:bCs w:val="0"/>
          <w:lang w:val="en-US" w:eastAsia="zh-CN"/>
        </w:rPr>
        <w:t xml:space="preserve">   </w:t>
      </w:r>
      <w:r>
        <w:rPr>
          <w:rFonts w:hint="eastAsia" w:ascii="楷体_GB2312" w:hAnsi="楷体_GB2312" w:eastAsia="楷体_GB2312" w:cs="楷体_GB2312"/>
          <w:b/>
          <w:bCs w:val="0"/>
          <w:color w:val="000000"/>
        </w:rPr>
        <w:t>（一）主要职能</w:t>
      </w:r>
      <w:bookmarkEnd w:id="4"/>
      <w:bookmarkEnd w:id="5"/>
      <w:bookmarkStart w:id="6" w:name="_Toc15377199"/>
      <w:bookmarkStart w:id="7" w:name="_Toc15378446"/>
    </w:p>
    <w:p>
      <w:pPr>
        <w:ind w:firstLine="640" w:firstLineChars="200"/>
        <w:rPr>
          <w:rFonts w:hint="eastAsia"/>
        </w:rPr>
      </w:pPr>
      <w:r>
        <w:rPr>
          <w:rFonts w:hint="eastAsia" w:cs="仿宋_GB2312"/>
          <w:kern w:val="0"/>
        </w:rPr>
        <w:t>自贡市残疾人联合会（简称市残联）是市政府批准的全市残疾人事业团体，是中国残疾人联合会的地方组织。它是由全市各类残疾人的代表和残疾人工作者组成，既代表残疾人的共同利益，维护残疾人的合法权益，又为残疾人服务，同时承担政府委托的任务，动员社会力量，推进残疾人事业。主要职责包括适应社会主义现代化建设的需要，发展残疾人事业。动员社会发扬人道主义精神，理解、尊重、关心、帮助残疾人，促进残疾人平等参与社会生活；鼓励残疾人坚持爱国主义和乐观主义，自尊、自信、自强、自立，为社会主义建设贡献力量。</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left="0" w:firstLine="643" w:firstLineChars="200"/>
        <w:textAlignment w:val="auto"/>
        <w:outlineLvl w:val="2"/>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（二）202</w:t>
      </w:r>
      <w:r>
        <w:rPr>
          <w:rFonts w:hint="eastAsia" w:ascii="楷体_GB2312" w:hAnsi="楷体_GB2312" w:eastAsia="楷体_GB2312" w:cs="楷体_GB2312"/>
          <w:b/>
          <w:bCs w:val="0"/>
          <w:color w:val="000000"/>
          <w:sz w:val="32"/>
          <w:szCs w:val="32"/>
          <w:lang w:val="en-US" w:eastAsia="zh-CN"/>
        </w:rPr>
        <w:t>1</w:t>
      </w:r>
      <w:r>
        <w:rPr>
          <w:rFonts w:hint="eastAsia" w:ascii="楷体_GB2312" w:hAnsi="楷体_GB2312" w:eastAsia="楷体_GB2312" w:cs="楷体_GB2312"/>
          <w:b/>
          <w:bCs w:val="0"/>
          <w:color w:val="000000"/>
          <w:sz w:val="32"/>
          <w:szCs w:val="32"/>
        </w:rPr>
        <w:t>年重点工作完成情况</w:t>
      </w:r>
      <w:bookmarkEnd w:id="6"/>
      <w:bookmarkEnd w:id="7"/>
    </w:p>
    <w:p>
      <w:pPr>
        <w:spacing w:line="590" w:lineRule="exact"/>
        <w:ind w:firstLine="640"/>
        <w:rPr>
          <w:rFonts w:hint="eastAsia" w:ascii="仿宋_GB2312" w:eastAsia="仿宋_GB2312"/>
          <w:color w:val="000000"/>
          <w:sz w:val="32"/>
          <w:szCs w:val="32"/>
        </w:rPr>
      </w:pPr>
      <w:bookmarkStart w:id="8" w:name="_Toc6092"/>
      <w:bookmarkStart w:id="9" w:name="_Toc15377200"/>
      <w:bookmarkStart w:id="10" w:name="_Toc15396601"/>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年以来，</w:t>
      </w:r>
      <w:r>
        <w:rPr>
          <w:rFonts w:hint="eastAsia" w:ascii="仿宋_GB2312" w:eastAsia="仿宋_GB2312"/>
          <w:color w:val="000000"/>
          <w:sz w:val="32"/>
          <w:szCs w:val="32"/>
          <w:lang w:eastAsia="zh-CN"/>
        </w:rPr>
        <w:t>自贡市残疾人联合会</w:t>
      </w:r>
      <w:r>
        <w:rPr>
          <w:rFonts w:hint="eastAsia" w:ascii="仿宋_GB2312" w:eastAsia="仿宋_GB2312"/>
          <w:color w:val="000000"/>
          <w:sz w:val="32"/>
          <w:szCs w:val="32"/>
        </w:rPr>
        <w:t>在市委、市政府的坚强领导下，坚定以习近平新时代中国特色社会主义思想和习近平总书记关于残疾人事业重要论述精神为指引，紧盯“全面建成小康社会，残疾人一个也不能少”目标，扎实开展了</w:t>
      </w:r>
      <w:r>
        <w:rPr>
          <w:rFonts w:hint="eastAsia" w:ascii="仿宋_GB2312" w:eastAsia="仿宋_GB2312"/>
          <w:color w:val="000000"/>
          <w:sz w:val="32"/>
          <w:szCs w:val="32"/>
          <w:lang w:eastAsia="zh-CN"/>
        </w:rPr>
        <w:t>以下</w:t>
      </w:r>
      <w:r>
        <w:rPr>
          <w:rFonts w:hint="eastAsia" w:ascii="仿宋_GB2312" w:eastAsia="仿宋_GB2312"/>
          <w:color w:val="000000"/>
          <w:sz w:val="32"/>
          <w:szCs w:val="32"/>
        </w:rPr>
        <w:t>重点工作。</w:t>
      </w:r>
    </w:p>
    <w:p>
      <w:pPr>
        <w:spacing w:line="590" w:lineRule="exact"/>
        <w:ind w:firstLine="640"/>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rPr>
        <w:t>强化政治引领，把残疾人紧密团结在党的周围。</w:t>
      </w:r>
      <w:r>
        <w:rPr>
          <w:rFonts w:hint="eastAsia" w:ascii="仿宋_GB2312" w:eastAsia="仿宋_GB2312"/>
          <w:color w:val="000000"/>
          <w:sz w:val="32"/>
          <w:szCs w:val="32"/>
        </w:rPr>
        <w:t>一是扎实开展党史学习教育，县级领导干部带头学、带头悟、带头讲，全体党员主动学、持续学、深入学，引领全市残联系统干部职工弄懂中国共产党为什么能、马克思主义为什么行、中国特色社会主义为什么好，强化政治监督和意识形态管控，切实增强“四个意识”，坚定“四个自信”，做到“两个维护”。二是统筹开展“我为群众办实事”实践活动，结合市人大常委会《中华人民共和国残疾人保障法》《四川省&lt;中华人民共和国残疾人保障法&gt;实施办法》执法检查，攻坚解决残疾人“急难愁盼”问题、妥善化解信访积案，全覆盖宣讲习近平新时代中国特色社会主义思想和习近平总书记关于残疾人事业重要指示批示精神。三是精心组织中国共产党成立100周年系列庆祝宣传活动，举办自贡市第三届残疾人文化艺术节、残疾人演讲比赛和《中华人民共和国残疾人保障法》实施30周年座谈会，生动展示残疾人与健全人一道迈入小康社会取得的历史性成就，深情表达残疾人听党话感党恩跟党走的坚定决心。</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强化党建引领，高质量推进残疾人事业。</w:t>
      </w:r>
      <w:r>
        <w:rPr>
          <w:rFonts w:hint="eastAsia" w:ascii="仿宋_GB2312" w:eastAsia="仿宋_GB2312"/>
          <w:color w:val="000000"/>
          <w:sz w:val="32"/>
          <w:szCs w:val="32"/>
        </w:rPr>
        <w:t>坚持融入中心抓党建、抓好党建促发展，把党的政治优势、组织优势转化为发展优势，持续优化深化“量体裁衣”式残疾人服务。截至12月，通过入户调研精准掌握102314名持证残疾人基本状况和需求情况，协调落实各项社会保障和基本公共服务。一是落实残疾预防和精准康复服务，开展残疾预防宣教和早期筛查，为383名残疾儿童开展抢救性康复，为有合理需求的残疾人适配辅助器具4508件，成年残疾人基本康复服务率达94.89%。二是创新推动残疾人就业创业。牵头实施残疾人技能培训和就业援助，加大残疾人创业扶持和就业保障金征收力度，帮助3905名残疾人稳定就业。三是融合提升残疾人体育水平。成功举办市第二十一届“志坚杯”残疾人运动会，参加全国第十一届残运会取得优异成绩，市残联被省政府表扬为残疾人体育突出贡献单位。四是接续夯实政策兜底保障。全年为124名残疾大学生和困难残疾人子女提供入学资助，为804户困难重度残疾人家庭实施无障碍改造，为2154名残疾人提供托养照护服务，为4400名困难残疾人开展慰问帮扶，为9.6万名持证残疾人购买意外伤害保险。</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3.</w:t>
      </w:r>
      <w:r>
        <w:rPr>
          <w:rFonts w:hint="eastAsia" w:ascii="仿宋_GB2312" w:eastAsia="仿宋_GB2312"/>
          <w:b/>
          <w:bCs/>
          <w:color w:val="000000"/>
          <w:sz w:val="32"/>
          <w:szCs w:val="32"/>
        </w:rPr>
        <w:t>强化思想引领，凝心聚力服务经济社会发展大局。</w:t>
      </w:r>
      <w:r>
        <w:rPr>
          <w:rFonts w:hint="eastAsia" w:ascii="仿宋_GB2312" w:eastAsia="仿宋_GB2312"/>
          <w:color w:val="000000"/>
          <w:sz w:val="32"/>
          <w:szCs w:val="32"/>
        </w:rPr>
        <w:t>一是把学习宣传贯彻习近平新时代中国特色社会主义思想作为检验残联干部政治判断力、政治领悟力、政治执行力的重要标尺，以“大学习、大宣讲、大落实”贯彻党的十九届五中、六中全会精神和省委、市委全会及市第十三次党代会精神，切实走好践行“两个维护”第一方阵。二是强化自身建设和残联组织建设，落细市委“1+3+6”规范，做实“以案促改”、系统治理和两项改革“后半篇”文章，常态抓好省委巡视、市委巡察反馈意见和审计反馈问题整改。三是主动融入全市中心工作。开展蹲点调研，出台《巩固拓展残疾人脱贫攻坚成果与乡村振兴战略有效衔接二十条措施》；协调落实残疾人群体疫情防控，走访慰问受疫情影响的困难残疾人300名；完成对上争取资金任务，储备市残疾人托养中心建设项目；融入成渝地区双城经济圈建设和内自同城化发展大局，高标准编制《自贡市“十四五”残疾人保障和发展规划》。</w:t>
      </w:r>
    </w:p>
    <w:p>
      <w:pPr>
        <w:pageBreakBefore w:val="0"/>
        <w:widowControl w:val="0"/>
        <w:kinsoku/>
        <w:wordWrap/>
        <w:overflowPunct/>
        <w:topLinePunct w:val="0"/>
        <w:autoSpaceDE/>
        <w:autoSpaceDN/>
        <w:bidi w:val="0"/>
        <w:spacing w:line="560" w:lineRule="exact"/>
        <w:ind w:left="0" w:firstLine="643"/>
        <w:jc w:val="both"/>
        <w:textAlignment w:val="auto"/>
        <w:rPr>
          <w:rStyle w:val="18"/>
          <w:rFonts w:hint="eastAsia" w:ascii="黑体" w:hAnsi="黑体" w:eastAsia="黑体"/>
          <w:b w:val="0"/>
          <w:bCs w:val="0"/>
        </w:rPr>
      </w:pPr>
      <w:r>
        <w:rPr>
          <w:rFonts w:hint="eastAsia" w:ascii="黑体" w:hAnsi="黑体" w:eastAsia="黑体"/>
          <w:b w:val="0"/>
          <w:color w:val="000000"/>
          <w:lang w:eastAsia="zh-CN"/>
        </w:rPr>
        <w:t>二、</w:t>
      </w:r>
      <w:r>
        <w:rPr>
          <w:rFonts w:hint="eastAsia" w:ascii="黑体" w:hAnsi="黑体" w:eastAsia="黑体"/>
          <w:b w:val="0"/>
          <w:color w:val="000000"/>
        </w:rPr>
        <w:t>机</w:t>
      </w:r>
      <w:r>
        <w:rPr>
          <w:rStyle w:val="18"/>
          <w:rFonts w:hint="eastAsia" w:ascii="黑体" w:hAnsi="黑体" w:eastAsia="黑体"/>
          <w:b w:val="0"/>
          <w:bCs w:val="0"/>
        </w:rPr>
        <w:t>构设置</w:t>
      </w:r>
      <w:bookmarkEnd w:id="8"/>
      <w:bookmarkEnd w:id="9"/>
      <w:bookmarkEnd w:id="10"/>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r>
        <w:rPr>
          <w:rFonts w:hint="eastAsia" w:cs="仿宋_GB2312"/>
          <w:kern w:val="0"/>
          <w:sz w:val="32"/>
          <w:szCs w:val="32"/>
          <w:lang w:eastAsia="zh-CN"/>
        </w:rPr>
        <w:t>自贡市残疾人联合会</w:t>
      </w:r>
      <w:r>
        <w:rPr>
          <w:rFonts w:hint="eastAsia" w:eastAsia="仿宋_GB2312" w:cs="仿宋_GB2312"/>
          <w:kern w:val="0"/>
          <w:sz w:val="32"/>
          <w:szCs w:val="32"/>
        </w:rPr>
        <w:t>下属二级单位</w:t>
      </w:r>
      <w:r>
        <w:rPr>
          <w:rFonts w:hint="eastAsia" w:cs="仿宋_GB2312"/>
          <w:kern w:val="0"/>
          <w:sz w:val="32"/>
          <w:szCs w:val="32"/>
          <w:lang w:val="en-US" w:eastAsia="zh-CN"/>
        </w:rPr>
        <w:t>2</w:t>
      </w:r>
      <w:r>
        <w:rPr>
          <w:rFonts w:hint="eastAsia" w:eastAsia="仿宋_GB2312" w:cs="仿宋_GB2312"/>
          <w:kern w:val="0"/>
          <w:sz w:val="32"/>
          <w:szCs w:val="32"/>
        </w:rPr>
        <w:t>个，其中行政单位</w:t>
      </w:r>
      <w:r>
        <w:rPr>
          <w:rFonts w:eastAsia="仿宋_GB2312"/>
          <w:kern w:val="0"/>
          <w:sz w:val="32"/>
          <w:szCs w:val="32"/>
        </w:rPr>
        <w:t>0</w:t>
      </w:r>
      <w:r>
        <w:rPr>
          <w:rFonts w:hint="eastAsia" w:eastAsia="仿宋_GB2312" w:cs="仿宋_GB2312"/>
          <w:kern w:val="0"/>
          <w:sz w:val="32"/>
          <w:szCs w:val="32"/>
        </w:rPr>
        <w:t>个，参照公务员法管理的事业单位</w:t>
      </w:r>
      <w:r>
        <w:rPr>
          <w:rFonts w:eastAsia="仿宋_GB2312"/>
          <w:kern w:val="0"/>
          <w:sz w:val="32"/>
          <w:szCs w:val="32"/>
        </w:rPr>
        <w:t>1</w:t>
      </w:r>
      <w:r>
        <w:rPr>
          <w:rFonts w:hint="eastAsia" w:eastAsia="仿宋_GB2312" w:cs="仿宋_GB2312"/>
          <w:kern w:val="0"/>
          <w:sz w:val="32"/>
          <w:szCs w:val="32"/>
        </w:rPr>
        <w:t>个，其他事业单位</w:t>
      </w:r>
      <w:r>
        <w:rPr>
          <w:rFonts w:hint="eastAsia" w:cs="仿宋_GB2312"/>
          <w:kern w:val="0"/>
          <w:sz w:val="32"/>
          <w:szCs w:val="32"/>
          <w:lang w:val="en-US" w:eastAsia="zh-CN"/>
        </w:rPr>
        <w:t>1</w:t>
      </w:r>
      <w:r>
        <w:rPr>
          <w:rFonts w:hint="eastAsia" w:eastAsia="仿宋_GB2312" w:cs="仿宋_GB2312"/>
          <w:kern w:val="0"/>
          <w:sz w:val="32"/>
          <w:szCs w:val="32"/>
        </w:rPr>
        <w:t>个。</w:t>
      </w: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r>
        <w:rPr>
          <w:rFonts w:hint="eastAsia" w:eastAsia="仿宋_GB2312" w:cs="仿宋_GB2312"/>
          <w:kern w:val="0"/>
          <w:sz w:val="32"/>
          <w:szCs w:val="32"/>
        </w:rPr>
        <w:t>纳入</w:t>
      </w:r>
      <w:r>
        <w:rPr>
          <w:rFonts w:hint="eastAsia" w:cs="仿宋_GB2312"/>
          <w:kern w:val="0"/>
          <w:sz w:val="32"/>
          <w:szCs w:val="32"/>
          <w:lang w:eastAsia="zh-CN"/>
        </w:rPr>
        <w:t>自贡市残疾人联合会</w:t>
      </w:r>
      <w:r>
        <w:rPr>
          <w:rFonts w:eastAsia="仿宋_GB2312"/>
          <w:kern w:val="0"/>
          <w:sz w:val="32"/>
          <w:szCs w:val="32"/>
        </w:rPr>
        <w:t>20</w:t>
      </w:r>
      <w:r>
        <w:rPr>
          <w:rFonts w:hint="eastAsia"/>
          <w:kern w:val="0"/>
          <w:sz w:val="32"/>
          <w:szCs w:val="32"/>
          <w:lang w:val="en-US" w:eastAsia="zh-CN"/>
        </w:rPr>
        <w:t>21</w:t>
      </w:r>
      <w:r>
        <w:rPr>
          <w:rFonts w:hint="eastAsia" w:eastAsia="仿宋_GB2312" w:cs="仿宋_GB2312"/>
          <w:kern w:val="0"/>
          <w:sz w:val="32"/>
          <w:szCs w:val="32"/>
        </w:rPr>
        <w:t>年度部门决算编制范围的二级预算单位包括：</w:t>
      </w: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lang w:eastAsia="zh-CN"/>
        </w:rPr>
      </w:pPr>
      <w:r>
        <w:rPr>
          <w:rFonts w:hint="eastAsia" w:cs="仿宋_GB2312"/>
          <w:kern w:val="0"/>
          <w:sz w:val="32"/>
          <w:szCs w:val="32"/>
          <w:lang w:val="en-US" w:eastAsia="zh-CN"/>
        </w:rPr>
        <w:t>1.</w:t>
      </w:r>
      <w:r>
        <w:rPr>
          <w:rFonts w:hint="eastAsia" w:eastAsia="仿宋_GB2312" w:cs="仿宋_GB2312"/>
          <w:kern w:val="0"/>
          <w:sz w:val="32"/>
          <w:szCs w:val="32"/>
        </w:rPr>
        <w:t>自贡市残疾人联合会</w:t>
      </w:r>
      <w:r>
        <w:rPr>
          <w:rFonts w:hint="eastAsia" w:eastAsia="仿宋_GB2312" w:cs="仿宋_GB2312"/>
          <w:kern w:val="0"/>
          <w:sz w:val="32"/>
          <w:szCs w:val="32"/>
          <w:lang w:eastAsia="zh-CN"/>
        </w:rPr>
        <w:t>（本级）</w:t>
      </w: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r>
        <w:rPr>
          <w:rFonts w:hint="eastAsia" w:cs="仿宋_GB2312"/>
          <w:kern w:val="0"/>
          <w:sz w:val="32"/>
          <w:szCs w:val="32"/>
          <w:lang w:val="en-US" w:eastAsia="zh-CN"/>
        </w:rPr>
        <w:t>2.</w:t>
      </w:r>
      <w:r>
        <w:rPr>
          <w:rFonts w:hint="eastAsia" w:eastAsia="仿宋_GB2312" w:cs="仿宋_GB2312"/>
          <w:kern w:val="0"/>
          <w:sz w:val="32"/>
          <w:szCs w:val="32"/>
        </w:rPr>
        <w:t>自贡市残疾人综合服务中心</w:t>
      </w:r>
      <w:bookmarkStart w:id="11" w:name="_Toc15396602"/>
      <w:bookmarkStart w:id="12" w:name="_Toc23109"/>
      <w:bookmarkStart w:id="13" w:name="_Toc15377204"/>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ageBreakBefore w:val="0"/>
        <w:widowControl w:val="0"/>
        <w:kinsoku/>
        <w:wordWrap/>
        <w:overflowPunct/>
        <w:topLinePunct w:val="0"/>
        <w:autoSpaceDE/>
        <w:autoSpaceDN/>
        <w:bidi w:val="0"/>
        <w:spacing w:line="560" w:lineRule="exact"/>
        <w:ind w:left="0" w:firstLine="643"/>
        <w:jc w:val="both"/>
        <w:textAlignment w:val="auto"/>
        <w:rPr>
          <w:rFonts w:hint="eastAsia" w:eastAsia="仿宋_GB2312" w:cs="仿宋_GB2312"/>
          <w:kern w:val="0"/>
          <w:sz w:val="32"/>
          <w:szCs w:val="32"/>
        </w:rPr>
      </w:pPr>
    </w:p>
    <w:p>
      <w:pPr>
        <w:pStyle w:val="2"/>
        <w:rPr>
          <w:rFonts w:hint="eastAsia" w:eastAsia="仿宋_GB2312" w:cs="仿宋_GB2312"/>
          <w:kern w:val="0"/>
          <w:sz w:val="32"/>
          <w:szCs w:val="32"/>
        </w:rPr>
      </w:pPr>
    </w:p>
    <w:bookmarkEnd w:id="11"/>
    <w:bookmarkEnd w:id="12"/>
    <w:bookmarkEnd w:id="13"/>
    <w:p>
      <w:pPr>
        <w:pStyle w:val="5"/>
        <w:ind w:right="440"/>
        <w:jc w:val="center"/>
        <w:rPr>
          <w:rStyle w:val="17"/>
          <w:rFonts w:ascii="黑体" w:hAnsi="黑体" w:eastAsia="黑体"/>
          <w:b w:val="0"/>
          <w:bCs w:val="0"/>
        </w:rPr>
      </w:pPr>
      <w:bookmarkStart w:id="14" w:name="_Toc7163"/>
      <w:bookmarkStart w:id="15" w:name="_Toc15377205"/>
      <w:bookmarkStart w:id="16" w:name="_Toc15396603"/>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w:t>
      </w:r>
      <w:r>
        <w:rPr>
          <w:rStyle w:val="17"/>
          <w:rFonts w:hint="eastAsia" w:ascii="黑体" w:hAnsi="黑体" w:eastAsia="黑体"/>
          <w:b w:val="0"/>
          <w:bCs w:val="0"/>
          <w:lang w:val="en-US" w:eastAsia="zh-CN"/>
        </w:rPr>
        <w:t>1</w:t>
      </w:r>
      <w:r>
        <w:rPr>
          <w:rStyle w:val="17"/>
          <w:rFonts w:hint="eastAsia" w:ascii="黑体" w:hAnsi="黑体" w:eastAsia="黑体"/>
          <w:b w:val="0"/>
          <w:bCs w:val="0"/>
        </w:rPr>
        <w:t>年度部门决算情况说明</w:t>
      </w:r>
    </w:p>
    <w:p>
      <w:pPr>
        <w:pStyle w:val="19"/>
        <w:numPr>
          <w:ilvl w:val="0"/>
          <w:numId w:val="0"/>
        </w:numPr>
        <w:spacing w:line="600" w:lineRule="exact"/>
        <w:ind w:firstLine="640" w:firstLineChars="200"/>
        <w:outlineLvl w:val="1"/>
        <w:rPr>
          <w:rStyle w:val="18"/>
          <w:rFonts w:hint="eastAsia" w:ascii="黑体" w:hAnsi="黑体" w:eastAsia="黑体"/>
          <w:b w:val="0"/>
        </w:rPr>
      </w:pPr>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4"/>
      <w:bookmarkEnd w:id="15"/>
      <w:bookmarkEnd w:id="16"/>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w:t>
      </w:r>
      <w:r>
        <w:rPr>
          <w:rFonts w:hint="eastAsia" w:ascii="仿宋_GB2312" w:hAnsi="仿宋_GB2312" w:cs="仿宋_GB2312"/>
          <w:color w:val="000000"/>
          <w:sz w:val="32"/>
          <w:szCs w:val="32"/>
          <w:lang w:eastAsia="zh-CN"/>
        </w:rPr>
        <w:t>、支</w:t>
      </w:r>
      <w:r>
        <w:rPr>
          <w:rFonts w:hint="eastAsia" w:ascii="仿宋_GB2312" w:hAnsi="仿宋_GB2312" w:eastAsia="仿宋_GB2312" w:cs="仿宋_GB2312"/>
          <w:color w:val="000000"/>
          <w:sz w:val="32"/>
          <w:szCs w:val="32"/>
          <w:lang w:eastAsia="zh-CN"/>
        </w:rPr>
        <w:t>总计</w:t>
      </w:r>
      <w:r>
        <w:rPr>
          <w:rFonts w:hint="eastAsia" w:ascii="仿宋_GB2312" w:hAnsi="仿宋_GB2312" w:cs="仿宋_GB2312"/>
          <w:color w:val="000000"/>
          <w:sz w:val="32"/>
          <w:szCs w:val="32"/>
          <w:lang w:val="en-US" w:eastAsia="zh-CN"/>
        </w:rPr>
        <w:t>1324.88</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年相比，收</w:t>
      </w:r>
      <w:r>
        <w:rPr>
          <w:rFonts w:hint="eastAsia" w:ascii="仿宋_GB2312" w:hAnsi="仿宋_GB2312" w:eastAsia="仿宋_GB2312" w:cs="仿宋_GB2312"/>
          <w:color w:val="000000"/>
          <w:sz w:val="32"/>
          <w:szCs w:val="32"/>
          <w:lang w:eastAsia="zh-CN"/>
        </w:rPr>
        <w:t>、支总计各增加</w:t>
      </w:r>
      <w:r>
        <w:rPr>
          <w:rFonts w:hint="eastAsia" w:ascii="仿宋_GB2312" w:hAnsi="仿宋_GB2312" w:cs="仿宋_GB2312"/>
          <w:color w:val="000000"/>
          <w:sz w:val="32"/>
          <w:szCs w:val="32"/>
          <w:lang w:val="en-US" w:eastAsia="zh-CN"/>
        </w:rPr>
        <w:t>147.68</w:t>
      </w:r>
      <w:r>
        <w:rPr>
          <w:rFonts w:hint="eastAsia" w:ascii="仿宋_GB2312" w:hAnsi="仿宋_GB2312" w:eastAsia="仿宋_GB2312" w:cs="仿宋_GB2312"/>
          <w:color w:val="000000"/>
          <w:sz w:val="32"/>
          <w:szCs w:val="32"/>
          <w:lang w:val="en-US" w:eastAsia="zh-CN"/>
        </w:rPr>
        <w:t>万元，增长</w:t>
      </w:r>
      <w:r>
        <w:rPr>
          <w:rFonts w:hint="eastAsia" w:ascii="仿宋_GB2312" w:hAnsi="仿宋_GB2312" w:cs="仿宋_GB2312"/>
          <w:color w:val="000000"/>
          <w:sz w:val="32"/>
          <w:szCs w:val="32"/>
          <w:lang w:val="en-US" w:eastAsia="zh-CN"/>
        </w:rPr>
        <w:t>12.55</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收入方面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w:t>
      </w:r>
      <w:r>
        <w:rPr>
          <w:rFonts w:hint="eastAsia" w:ascii="仿宋_GB2312" w:hAnsi="仿宋_GB2312" w:eastAsia="仿宋_GB2312" w:cs="仿宋_GB2312"/>
          <w:color w:val="000000"/>
          <w:sz w:val="32"/>
          <w:szCs w:val="32"/>
        </w:rPr>
        <w:t>收入</w:t>
      </w:r>
      <w:r>
        <w:rPr>
          <w:rFonts w:hint="eastAsia" w:ascii="仿宋_GB2312" w:hAnsi="仿宋_GB2312" w:cs="仿宋_GB2312"/>
          <w:color w:val="000000"/>
          <w:sz w:val="32"/>
          <w:szCs w:val="32"/>
          <w:lang w:eastAsia="zh-CN"/>
        </w:rPr>
        <w:t>合计</w:t>
      </w:r>
      <w:r>
        <w:rPr>
          <w:rFonts w:hint="eastAsia" w:ascii="仿宋_GB2312" w:hAnsi="仿宋_GB2312" w:eastAsia="仿宋_GB2312" w:cs="仿宋_GB2312"/>
          <w:color w:val="000000"/>
          <w:sz w:val="32"/>
          <w:szCs w:val="32"/>
        </w:rPr>
        <w:t>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115.46</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年初结转和结余比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32.22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本年支出合计</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182.08</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年末结转和结余比20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34.2</w:t>
      </w:r>
      <w:r>
        <w:rPr>
          <w:rFonts w:hint="eastAsia" w:ascii="仿宋_GB2312" w:hAnsi="仿宋_GB2312" w:eastAsia="仿宋_GB2312" w:cs="仿宋_GB2312"/>
          <w:color w:val="000000"/>
          <w:sz w:val="32"/>
          <w:szCs w:val="32"/>
        </w:rPr>
        <w:t xml:space="preserve">万元。 </w:t>
      </w:r>
    </w:p>
    <w:p>
      <w:pPr>
        <w:spacing w:line="600" w:lineRule="exact"/>
        <w:ind w:firstLine="640" w:firstLineChars="200"/>
        <w:jc w:val="left"/>
        <w:rPr>
          <w:rFonts w:ascii="仿宋_GB2312" w:hAnsi="仿宋" w:cs="仿宋_GB2312"/>
          <w:color w:val="000000"/>
        </w:rPr>
      </w:pPr>
      <w:r>
        <w:rPr>
          <w:rFonts w:hint="eastAsia" w:ascii="仿宋_GB2312" w:hAnsi="仿宋" w:eastAsia="仿宋_GB2312" w:cs="仿宋_GB2312"/>
          <w:color w:val="000000"/>
          <w:lang w:eastAsia="zh-CN"/>
        </w:rPr>
        <w:drawing>
          <wp:anchor distT="0" distB="0" distL="114300" distR="114300" simplePos="0" relativeHeight="251659264" behindDoc="0" locked="0" layoutInCell="1" allowOverlap="1">
            <wp:simplePos x="0" y="0"/>
            <wp:positionH relativeFrom="column">
              <wp:posOffset>467360</wp:posOffset>
            </wp:positionH>
            <wp:positionV relativeFrom="paragraph">
              <wp:posOffset>61595</wp:posOffset>
            </wp:positionV>
            <wp:extent cx="5042535" cy="2876550"/>
            <wp:effectExtent l="4445" t="4445" r="20320"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ascii="仿宋_GB2312" w:hAnsi="仿宋" w:cs="仿宋_GB2312"/>
          <w:color w:val="000000"/>
        </w:rPr>
      </w:pPr>
    </w:p>
    <w:p>
      <w:pPr>
        <w:spacing w:line="600" w:lineRule="exact"/>
        <w:ind w:firstLine="640" w:firstLineChars="200"/>
        <w:jc w:val="left"/>
        <w:rPr>
          <w:rFonts w:hint="eastAsia" w:ascii="仿宋_GB2312" w:hAnsi="仿宋" w:eastAsia="仿宋_GB2312" w:cs="仿宋_GB2312"/>
          <w:color w:val="000000"/>
          <w:lang w:eastAsia="zh-CN"/>
        </w:rPr>
      </w:pPr>
    </w:p>
    <w:p>
      <w:pPr>
        <w:spacing w:line="6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图1：收、支决算总计变动情况图</w:t>
      </w:r>
    </w:p>
    <w:p>
      <w:pPr>
        <w:pStyle w:val="19"/>
        <w:numPr>
          <w:ilvl w:val="0"/>
          <w:numId w:val="0"/>
        </w:numPr>
        <w:spacing w:line="600" w:lineRule="exact"/>
        <w:ind w:firstLine="640" w:firstLineChars="200"/>
        <w:outlineLvl w:val="1"/>
        <w:rPr>
          <w:rStyle w:val="18"/>
          <w:rFonts w:ascii="黑体" w:hAnsi="黑体" w:eastAsia="黑体"/>
          <w:b w:val="0"/>
        </w:rPr>
      </w:pPr>
      <w:bookmarkStart w:id="17" w:name="_Toc15396604"/>
      <w:bookmarkStart w:id="18" w:name="_Toc25258"/>
      <w:bookmarkStart w:id="19"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8"/>
          <w:rFonts w:hint="eastAsia" w:ascii="黑体" w:hAnsi="黑体" w:eastAsia="黑体"/>
          <w:b w:val="0"/>
        </w:rPr>
        <w:t>入决算情况说明</w:t>
      </w:r>
      <w:bookmarkEnd w:id="17"/>
      <w:bookmarkEnd w:id="18"/>
      <w:bookmarkEnd w:id="19"/>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年本年收入合计</w:t>
      </w:r>
      <w:r>
        <w:rPr>
          <w:rFonts w:hint="eastAsia" w:ascii="仿宋_GB2312" w:hAnsi="仿宋_GB2312" w:cs="仿宋_GB2312"/>
          <w:color w:val="000000"/>
          <w:sz w:val="32"/>
          <w:szCs w:val="32"/>
          <w:lang w:val="en-US" w:eastAsia="zh-CN"/>
        </w:rPr>
        <w:t>1290.68</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cs="仿宋_GB2312"/>
          <w:color w:val="000000"/>
          <w:sz w:val="32"/>
          <w:szCs w:val="32"/>
          <w:lang w:val="en-US" w:eastAsia="zh-CN"/>
        </w:rPr>
        <w:t>1259.28</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97.57</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cs="仿宋_GB2312"/>
          <w:color w:val="000000"/>
          <w:sz w:val="32"/>
          <w:szCs w:val="32"/>
          <w:lang w:val="en-US" w:eastAsia="zh-CN"/>
        </w:rPr>
        <w:t>31.4</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2.43</w:t>
      </w:r>
      <w:r>
        <w:rPr>
          <w:rFonts w:hint="eastAsia" w:ascii="仿宋_GB2312" w:hAnsi="仿宋_GB2312" w:eastAsia="仿宋_GB2312" w:cs="仿宋_GB2312"/>
          <w:color w:val="000000"/>
          <w:sz w:val="32"/>
          <w:szCs w:val="32"/>
        </w:rPr>
        <w:t>%；国有资本经营预算财政拨款收入</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%；上级补助收入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620395</wp:posOffset>
            </wp:positionH>
            <wp:positionV relativeFrom="paragraph">
              <wp:posOffset>194945</wp:posOffset>
            </wp:positionV>
            <wp:extent cx="4194810" cy="2372360"/>
            <wp:effectExtent l="4445" t="5080" r="10795" b="2286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lang w:eastAsia="zh-CN"/>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outlineLvl w:val="9"/>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图2：收入决算结构图</w:t>
      </w:r>
      <w:bookmarkStart w:id="20" w:name="_Toc15377207"/>
      <w:bookmarkStart w:id="21" w:name="_Toc15396605"/>
      <w:bookmarkStart w:id="22" w:name="_Toc13725"/>
    </w:p>
    <w:p>
      <w:pPr>
        <w:pStyle w:val="19"/>
        <w:numPr>
          <w:ilvl w:val="0"/>
          <w:numId w:val="0"/>
        </w:num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18"/>
          <w:rFonts w:hint="eastAsia" w:ascii="黑体" w:hAnsi="黑体" w:eastAsia="黑体"/>
          <w:b w:val="0"/>
        </w:rPr>
        <w:t>出决算情况说明</w:t>
      </w:r>
      <w:bookmarkEnd w:id="20"/>
      <w:bookmarkEnd w:id="21"/>
      <w:bookmarkEnd w:id="22"/>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年本年支出合计</w:t>
      </w:r>
      <w:r>
        <w:rPr>
          <w:rFonts w:hint="eastAsia" w:ascii="仿宋_GB2312" w:hAnsi="仿宋_GB2312" w:cs="仿宋_GB2312"/>
          <w:color w:val="000000"/>
          <w:sz w:val="32"/>
          <w:szCs w:val="32"/>
          <w:lang w:val="en-US" w:eastAsia="zh-CN"/>
        </w:rPr>
        <w:t>1324.88</w:t>
      </w:r>
      <w:r>
        <w:rPr>
          <w:rFonts w:hint="eastAsia" w:ascii="仿宋_GB2312" w:hAnsi="仿宋_GB2312" w:eastAsia="仿宋_GB2312" w:cs="仿宋_GB2312"/>
          <w:color w:val="000000"/>
          <w:sz w:val="32"/>
          <w:szCs w:val="32"/>
        </w:rPr>
        <w:t>万元，其中：基本支出</w:t>
      </w:r>
      <w:r>
        <w:rPr>
          <w:rFonts w:hint="eastAsia" w:ascii="仿宋_GB2312" w:hAnsi="仿宋_GB2312" w:cs="仿宋_GB2312"/>
          <w:color w:val="000000"/>
          <w:sz w:val="32"/>
          <w:szCs w:val="32"/>
          <w:lang w:val="en-US" w:eastAsia="zh-CN"/>
        </w:rPr>
        <w:t>558.34</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42.14</w:t>
      </w:r>
      <w:r>
        <w:rPr>
          <w:rFonts w:hint="eastAsia" w:ascii="仿宋_GB2312" w:hAnsi="仿宋_GB2312" w:eastAsia="仿宋_GB2312" w:cs="仿宋_GB2312"/>
          <w:color w:val="000000"/>
          <w:sz w:val="32"/>
          <w:szCs w:val="32"/>
        </w:rPr>
        <w:t>%；项目支出</w:t>
      </w:r>
      <w:r>
        <w:rPr>
          <w:rFonts w:hint="eastAsia" w:ascii="仿宋_GB2312" w:hAnsi="仿宋_GB2312" w:cs="仿宋_GB2312"/>
          <w:color w:val="000000"/>
          <w:sz w:val="32"/>
          <w:szCs w:val="32"/>
          <w:lang w:val="en-US" w:eastAsia="zh-CN"/>
        </w:rPr>
        <w:t>766.54</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57.86</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687070</wp:posOffset>
            </wp:positionH>
            <wp:positionV relativeFrom="paragraph">
              <wp:posOffset>31750</wp:posOffset>
            </wp:positionV>
            <wp:extent cx="3919220" cy="2145665"/>
            <wp:effectExtent l="5080" t="4445" r="19050" b="2159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lang w:eastAsia="zh-CN"/>
        </w:rPr>
      </w:pPr>
    </w:p>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Fonts w:hint="eastAsia" w:ascii="黑体" w:hAnsi="黑体" w:eastAsia="黑体"/>
          <w:color w:val="000000"/>
          <w:sz w:val="32"/>
          <w:szCs w:val="32"/>
        </w:rPr>
      </w:pPr>
      <w:bookmarkStart w:id="23" w:name="_Toc15377208"/>
      <w:bookmarkStart w:id="24" w:name="_Toc15396606"/>
      <w:bookmarkStart w:id="25" w:name="_Toc10354"/>
    </w:p>
    <w:p>
      <w:pPr>
        <w:spacing w:line="600" w:lineRule="exact"/>
        <w:ind w:firstLine="640" w:firstLineChars="200"/>
        <w:outlineLvl w:val="1"/>
        <w:rPr>
          <w:rFonts w:hint="eastAsia" w:ascii="黑体" w:hAnsi="黑体" w:eastAsia="黑体"/>
          <w:color w:val="000000"/>
          <w:sz w:val="32"/>
          <w:szCs w:val="32"/>
        </w:rPr>
      </w:pPr>
    </w:p>
    <w:p>
      <w:pPr>
        <w:spacing w:line="6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图3：</w:t>
      </w:r>
      <w:r>
        <w:rPr>
          <w:rFonts w:hint="eastAsia" w:ascii="仿宋_GB2312" w:hAnsi="仿宋_GB2312" w:eastAsia="仿宋_GB2312" w:cs="仿宋_GB2312"/>
          <w:color w:val="000000"/>
          <w:sz w:val="28"/>
          <w:szCs w:val="28"/>
        </w:rPr>
        <w:t>支出决算</w:t>
      </w:r>
      <w:r>
        <w:rPr>
          <w:rFonts w:hint="eastAsia" w:ascii="仿宋_GB2312" w:hAnsi="仿宋_GB2312" w:cs="仿宋_GB2312"/>
          <w:color w:val="000000"/>
          <w:sz w:val="28"/>
          <w:szCs w:val="28"/>
          <w:lang w:val="en-US" w:eastAsia="zh-CN"/>
        </w:rPr>
        <w:t>结构图</w:t>
      </w: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3"/>
      <w:bookmarkEnd w:id="24"/>
      <w:bookmarkEnd w:id="25"/>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财政拨款</w:t>
      </w:r>
      <w:r>
        <w:rPr>
          <w:rFonts w:hint="eastAsia" w:ascii="仿宋_GB2312" w:hAnsi="仿宋_GB2312" w:eastAsia="仿宋_GB2312" w:cs="仿宋_GB2312"/>
          <w:color w:val="000000"/>
          <w:sz w:val="32"/>
          <w:szCs w:val="32"/>
        </w:rPr>
        <w:t>收</w:t>
      </w:r>
      <w:r>
        <w:rPr>
          <w:rFonts w:hint="eastAsia" w:ascii="仿宋_GB2312" w:hAnsi="仿宋_GB2312" w:cs="仿宋_GB2312"/>
          <w:color w:val="000000"/>
          <w:sz w:val="32"/>
          <w:szCs w:val="32"/>
          <w:lang w:eastAsia="zh-CN"/>
        </w:rPr>
        <w:t>、支</w:t>
      </w:r>
      <w:r>
        <w:rPr>
          <w:rFonts w:hint="eastAsia" w:ascii="仿宋_GB2312" w:hAnsi="仿宋_GB2312" w:eastAsia="仿宋_GB2312" w:cs="仿宋_GB2312"/>
          <w:color w:val="000000"/>
          <w:sz w:val="32"/>
          <w:szCs w:val="32"/>
          <w:lang w:eastAsia="zh-CN"/>
        </w:rPr>
        <w:t>总计</w:t>
      </w:r>
      <w:r>
        <w:rPr>
          <w:rFonts w:hint="eastAsia" w:ascii="仿宋_GB2312" w:hAnsi="仿宋_GB2312" w:cs="仿宋_GB2312"/>
          <w:color w:val="000000"/>
          <w:sz w:val="32"/>
          <w:szCs w:val="32"/>
          <w:lang w:val="en-US" w:eastAsia="zh-CN"/>
        </w:rPr>
        <w:t>1324.88</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w:t>
      </w:r>
      <w:r>
        <w:rPr>
          <w:rFonts w:hint="eastAsia" w:ascii="仿宋_GB2312" w:hAnsi="仿宋_GB2312" w:cs="仿宋_GB2312"/>
          <w:color w:val="000000"/>
          <w:sz w:val="32"/>
          <w:szCs w:val="32"/>
          <w:lang w:eastAsia="zh-CN"/>
        </w:rPr>
        <w:t>财政拨款</w:t>
      </w:r>
      <w:r>
        <w:rPr>
          <w:rFonts w:hint="eastAsia" w:ascii="仿宋_GB2312" w:hAnsi="仿宋_GB2312" w:eastAsia="仿宋_GB2312" w:cs="仿宋_GB2312"/>
          <w:color w:val="000000"/>
          <w:sz w:val="32"/>
          <w:szCs w:val="32"/>
        </w:rPr>
        <w:t>收</w:t>
      </w:r>
      <w:r>
        <w:rPr>
          <w:rFonts w:hint="eastAsia" w:ascii="仿宋_GB2312" w:hAnsi="仿宋_GB2312" w:cs="仿宋_GB2312"/>
          <w:color w:val="000000"/>
          <w:sz w:val="32"/>
          <w:szCs w:val="32"/>
          <w:lang w:eastAsia="zh-CN"/>
        </w:rPr>
        <w:t>、支总计</w:t>
      </w:r>
      <w:r>
        <w:rPr>
          <w:rFonts w:hint="eastAsia" w:ascii="仿宋_GB2312" w:hAnsi="仿宋_GB2312" w:eastAsia="仿宋_GB2312" w:cs="仿宋_GB2312"/>
          <w:color w:val="000000"/>
          <w:sz w:val="32"/>
          <w:szCs w:val="32"/>
          <w:lang w:eastAsia="zh-CN"/>
        </w:rPr>
        <w:t>各增加</w:t>
      </w:r>
      <w:r>
        <w:rPr>
          <w:rFonts w:hint="eastAsia" w:ascii="仿宋_GB2312" w:hAnsi="仿宋_GB2312" w:cs="仿宋_GB2312"/>
          <w:color w:val="000000"/>
          <w:sz w:val="32"/>
          <w:szCs w:val="32"/>
          <w:lang w:val="en-US" w:eastAsia="zh-CN"/>
        </w:rPr>
        <w:t>147.68</w:t>
      </w:r>
      <w:r>
        <w:rPr>
          <w:rFonts w:hint="eastAsia" w:ascii="仿宋_GB2312" w:hAnsi="仿宋_GB2312" w:eastAsia="仿宋_GB2312" w:cs="仿宋_GB2312"/>
          <w:color w:val="000000"/>
          <w:sz w:val="32"/>
          <w:szCs w:val="32"/>
          <w:lang w:val="en-US" w:eastAsia="zh-CN"/>
        </w:rPr>
        <w:t>万元，增长</w:t>
      </w:r>
      <w:r>
        <w:rPr>
          <w:rFonts w:hint="eastAsia" w:ascii="仿宋_GB2312" w:hAnsi="仿宋_GB2312" w:cs="仿宋_GB2312"/>
          <w:color w:val="000000"/>
          <w:sz w:val="32"/>
          <w:szCs w:val="32"/>
          <w:lang w:val="en-US" w:eastAsia="zh-CN"/>
        </w:rPr>
        <w:t>12.55</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收入方面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w:t>
      </w:r>
      <w:r>
        <w:rPr>
          <w:rFonts w:hint="eastAsia" w:ascii="仿宋_GB2312" w:hAnsi="仿宋_GB2312" w:eastAsia="仿宋_GB2312" w:cs="仿宋_GB2312"/>
          <w:color w:val="000000"/>
          <w:sz w:val="32"/>
          <w:szCs w:val="32"/>
        </w:rPr>
        <w:t>收入</w:t>
      </w:r>
      <w:r>
        <w:rPr>
          <w:rFonts w:hint="eastAsia" w:ascii="仿宋_GB2312" w:hAnsi="仿宋_GB2312" w:cs="仿宋_GB2312"/>
          <w:color w:val="000000"/>
          <w:sz w:val="32"/>
          <w:szCs w:val="32"/>
          <w:lang w:eastAsia="zh-CN"/>
        </w:rPr>
        <w:t>合计</w:t>
      </w:r>
      <w:r>
        <w:rPr>
          <w:rFonts w:hint="eastAsia" w:ascii="仿宋_GB2312" w:hAnsi="仿宋_GB2312" w:eastAsia="仿宋_GB2312" w:cs="仿宋_GB2312"/>
          <w:color w:val="000000"/>
          <w:sz w:val="32"/>
          <w:szCs w:val="32"/>
        </w:rPr>
        <w:t>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115.46</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年初结转和结余比</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32.22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cs="仿宋_GB2312"/>
          <w:color w:val="000000"/>
          <w:sz w:val="32"/>
          <w:szCs w:val="32"/>
          <w:lang w:eastAsia="zh-CN"/>
        </w:rPr>
        <w:t>本年支出合计</w:t>
      </w:r>
      <w:r>
        <w:rPr>
          <w:rFonts w:hint="eastAsia" w:ascii="仿宋_GB2312" w:hAnsi="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182.08</w:t>
      </w:r>
      <w:r>
        <w:rPr>
          <w:rFonts w:hint="eastAsia" w:ascii="仿宋_GB2312" w:hAnsi="仿宋_GB2312" w:eastAsia="仿宋_GB2312" w:cs="仿宋_GB2312"/>
          <w:color w:val="000000"/>
          <w:sz w:val="32"/>
          <w:szCs w:val="32"/>
        </w:rPr>
        <w:t>万元，20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年末结转和结余比20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减少</w:t>
      </w:r>
      <w:r>
        <w:rPr>
          <w:rFonts w:hint="eastAsia" w:ascii="仿宋_GB2312" w:hAnsi="仿宋_GB2312" w:cs="仿宋_GB2312"/>
          <w:color w:val="000000"/>
          <w:sz w:val="32"/>
          <w:szCs w:val="32"/>
          <w:lang w:val="en-US" w:eastAsia="zh-CN"/>
        </w:rPr>
        <w:t>34.2</w:t>
      </w:r>
      <w:r>
        <w:rPr>
          <w:rFonts w:hint="eastAsia" w:ascii="仿宋_GB2312" w:hAnsi="仿宋_GB2312" w:eastAsia="仿宋_GB2312" w:cs="仿宋_GB2312"/>
          <w:color w:val="000000"/>
          <w:sz w:val="32"/>
          <w:szCs w:val="32"/>
        </w:rPr>
        <w:t xml:space="preserve">万元。 </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419735</wp:posOffset>
            </wp:positionH>
            <wp:positionV relativeFrom="paragraph">
              <wp:posOffset>146685</wp:posOffset>
            </wp:positionV>
            <wp:extent cx="4661535" cy="2402205"/>
            <wp:effectExtent l="4445" t="4445" r="20320" b="1270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ind w:firstLine="640" w:firstLineChars="200"/>
        <w:jc w:val="left"/>
        <w:rPr>
          <w:rFonts w:hint="eastAsia" w:ascii="仿宋" w:hAnsi="仿宋" w:eastAsia="仿宋"/>
          <w:color w:val="000000"/>
          <w:sz w:val="32"/>
          <w:szCs w:val="32"/>
        </w:rPr>
      </w:pPr>
    </w:p>
    <w:p>
      <w:pPr>
        <w:spacing w:line="600" w:lineRule="exact"/>
        <w:jc w:val="left"/>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b/>
          <w:color w:val="00B050"/>
          <w:sz w:val="28"/>
          <w:szCs w:val="28"/>
        </w:rPr>
      </w:pPr>
      <w:r>
        <w:rPr>
          <w:rFonts w:hint="eastAsia" w:ascii="仿宋_GB2312" w:hAnsi="仿宋_GB2312" w:eastAsia="仿宋_GB2312" w:cs="仿宋_GB2312"/>
          <w:color w:val="000000"/>
          <w:sz w:val="28"/>
          <w:szCs w:val="28"/>
        </w:rPr>
        <w:t>图4：财政拨款收、支决算总计变动情况</w:t>
      </w:r>
    </w:p>
    <w:p>
      <w:pPr>
        <w:spacing w:line="600" w:lineRule="exact"/>
        <w:ind w:firstLine="640" w:firstLineChars="200"/>
        <w:outlineLvl w:val="1"/>
        <w:rPr>
          <w:rStyle w:val="18"/>
          <w:rFonts w:ascii="黑体" w:hAnsi="黑体" w:eastAsia="黑体"/>
          <w:b w:val="0"/>
        </w:rPr>
      </w:pPr>
      <w:bookmarkStart w:id="26" w:name="_Toc15377209"/>
      <w:bookmarkStart w:id="27" w:name="_Toc15396607"/>
      <w:bookmarkStart w:id="28" w:name="_Toc1096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6"/>
      <w:bookmarkEnd w:id="27"/>
      <w:bookmarkEnd w:id="28"/>
    </w:p>
    <w:p>
      <w:pPr>
        <w:spacing w:line="600" w:lineRule="exact"/>
        <w:ind w:firstLine="643" w:firstLineChars="200"/>
        <w:outlineLvl w:val="2"/>
        <w:rPr>
          <w:rFonts w:hint="eastAsia" w:ascii="楷体_GB2312" w:hAnsi="楷体_GB2312" w:eastAsia="楷体_GB2312" w:cs="楷体_GB2312"/>
          <w:b/>
          <w:color w:val="000000"/>
          <w:sz w:val="32"/>
          <w:szCs w:val="32"/>
          <w:lang w:eastAsia="zh-CN"/>
        </w:rPr>
      </w:pPr>
      <w:bookmarkStart w:id="29" w:name="_Toc15377210"/>
      <w:r>
        <w:rPr>
          <w:rFonts w:hint="eastAsia" w:ascii="楷体_GB2312" w:hAnsi="楷体_GB2312" w:eastAsia="楷体_GB2312" w:cs="楷体_GB2312"/>
          <w:b/>
          <w:color w:val="000000"/>
          <w:sz w:val="32"/>
          <w:szCs w:val="32"/>
        </w:rPr>
        <w:t>（一）一般公共预算财政拨款支出决算总体情况</w:t>
      </w:r>
      <w:bookmarkEnd w:id="29"/>
      <w:r>
        <w:rPr>
          <w:rFonts w:hint="eastAsia" w:ascii="楷体_GB2312" w:hAnsi="楷体_GB2312" w:eastAsia="楷体_GB2312" w:cs="楷体_GB2312"/>
          <w:b/>
          <w:color w:val="000000"/>
          <w:sz w:val="32"/>
          <w:szCs w:val="32"/>
          <w:lang w:eastAsia="zh-CN"/>
        </w:rPr>
        <w:t>。</w:t>
      </w:r>
    </w:p>
    <w:p>
      <w:pPr>
        <w:spacing w:line="60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cs="仿宋_GB2312"/>
          <w:color w:val="000000"/>
          <w:sz w:val="32"/>
          <w:szCs w:val="32"/>
          <w:lang w:val="en-US" w:eastAsia="zh-CN"/>
        </w:rPr>
        <w:t>1260.31</w:t>
      </w:r>
      <w:r>
        <w:rPr>
          <w:rFonts w:hint="eastAsia" w:ascii="仿宋_GB2312" w:hAnsi="仿宋_GB2312" w:eastAsia="仿宋_GB2312" w:cs="仿宋_GB2312"/>
          <w:color w:val="000000"/>
          <w:sz w:val="32"/>
          <w:szCs w:val="32"/>
        </w:rPr>
        <w:t>万元，占本年支出合计的</w:t>
      </w:r>
      <w:r>
        <w:rPr>
          <w:rFonts w:hint="eastAsia" w:ascii="仿宋_GB2312" w:hAnsi="仿宋_GB2312" w:cs="仿宋_GB2312"/>
          <w:color w:val="000000"/>
          <w:sz w:val="32"/>
          <w:szCs w:val="32"/>
          <w:lang w:val="en-US" w:eastAsia="zh-CN"/>
        </w:rPr>
        <w:t>95.13</w:t>
      </w:r>
      <w:r>
        <w:rPr>
          <w:rFonts w:hint="eastAsia" w:ascii="仿宋_GB2312" w:hAnsi="仿宋_GB2312" w:eastAsia="仿宋_GB2312" w:cs="仿宋_GB2312"/>
          <w:color w:val="000000"/>
          <w:sz w:val="32"/>
          <w:szCs w:val="32"/>
        </w:rPr>
        <w:t>%。与20</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年相比，一般公共预算财政拨款增加</w:t>
      </w:r>
      <w:r>
        <w:rPr>
          <w:rFonts w:hint="eastAsia" w:ascii="仿宋_GB2312" w:hAnsi="仿宋_GB2312" w:cs="仿宋_GB2312"/>
          <w:color w:val="000000"/>
          <w:sz w:val="32"/>
          <w:szCs w:val="32"/>
          <w:lang w:val="en-US" w:eastAsia="zh-CN"/>
        </w:rPr>
        <w:t>139.54</w:t>
      </w:r>
      <w:r>
        <w:rPr>
          <w:rFonts w:hint="eastAsia" w:ascii="仿宋_GB2312" w:hAnsi="仿宋_GB2312" w:eastAsia="仿宋_GB2312" w:cs="仿宋_GB2312"/>
          <w:color w:val="000000"/>
          <w:sz w:val="32"/>
          <w:szCs w:val="32"/>
        </w:rPr>
        <w:t>万元，增长</w:t>
      </w:r>
      <w:r>
        <w:rPr>
          <w:rFonts w:hint="eastAsia" w:ascii="仿宋_GB2312" w:hAnsi="仿宋_GB2312" w:cs="仿宋_GB2312"/>
          <w:color w:val="000000"/>
          <w:sz w:val="32"/>
          <w:szCs w:val="32"/>
          <w:lang w:val="en-US" w:eastAsia="zh-CN"/>
        </w:rPr>
        <w:t>12.45</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135.46</w:t>
      </w:r>
      <w:r>
        <w:rPr>
          <w:rFonts w:hint="eastAsia" w:ascii="仿宋_GB2312" w:hAnsi="仿宋_GB2312" w:eastAsia="仿宋_GB2312" w:cs="仿宋_GB2312"/>
          <w:color w:val="000000"/>
          <w:sz w:val="32"/>
          <w:szCs w:val="32"/>
        </w:rPr>
        <w:t>万元，卫生健康支出</w:t>
      </w:r>
      <w:r>
        <w:rPr>
          <w:rFonts w:hint="eastAsia" w:ascii="仿宋_GB2312" w:hAnsi="仿宋_GB2312" w:eastAsia="仿宋_GB2312" w:cs="仿宋_GB2312"/>
          <w:color w:val="000000"/>
          <w:sz w:val="32"/>
          <w:szCs w:val="32"/>
          <w:lang w:eastAsia="zh-CN"/>
        </w:rPr>
        <w:t>增加</w:t>
      </w:r>
      <w:r>
        <w:rPr>
          <w:rFonts w:hint="eastAsia" w:ascii="仿宋_GB2312" w:hAnsi="仿宋_GB2312" w:cs="仿宋_GB2312"/>
          <w:color w:val="000000"/>
          <w:sz w:val="32"/>
          <w:szCs w:val="32"/>
          <w:lang w:val="en-US" w:eastAsia="zh-CN"/>
        </w:rPr>
        <w:t>0.97</w:t>
      </w:r>
      <w:r>
        <w:rPr>
          <w:rFonts w:hint="eastAsia" w:ascii="仿宋_GB2312" w:hAnsi="仿宋_GB2312" w:eastAsia="仿宋_GB2312" w:cs="仿宋_GB2312"/>
          <w:color w:val="000000"/>
          <w:sz w:val="32"/>
          <w:szCs w:val="32"/>
        </w:rPr>
        <w:t>万元，住房保障支出</w:t>
      </w:r>
      <w:r>
        <w:rPr>
          <w:rFonts w:hint="eastAsia" w:ascii="仿宋_GB2312" w:hAnsi="仿宋_GB2312" w:cs="仿宋_GB2312"/>
          <w:color w:val="000000"/>
          <w:sz w:val="32"/>
          <w:szCs w:val="32"/>
          <w:lang w:eastAsia="zh-CN"/>
        </w:rPr>
        <w:t>增加</w:t>
      </w:r>
      <w:r>
        <w:rPr>
          <w:rFonts w:hint="eastAsia" w:ascii="仿宋_GB2312" w:hAnsi="仿宋_GB2312" w:cs="仿宋_GB2312"/>
          <w:color w:val="000000"/>
          <w:sz w:val="32"/>
          <w:szCs w:val="32"/>
          <w:lang w:val="en-US" w:eastAsia="zh-CN"/>
        </w:rPr>
        <w:t>3.1</w:t>
      </w:r>
      <w:r>
        <w:rPr>
          <w:rFonts w:hint="eastAsia" w:ascii="仿宋_GB2312" w:hAnsi="仿宋_GB2312" w:eastAsia="仿宋_GB2312" w:cs="仿宋_GB2312"/>
          <w:color w:val="000000"/>
          <w:sz w:val="32"/>
          <w:szCs w:val="32"/>
        </w:rPr>
        <w:t>万元。</w:t>
      </w:r>
    </w:p>
    <w:p>
      <w:pPr>
        <w:spacing w:line="560" w:lineRule="exact"/>
        <w:ind w:firstLine="640" w:firstLineChars="200"/>
        <w:outlineLvl w:val="2"/>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553720</wp:posOffset>
            </wp:positionH>
            <wp:positionV relativeFrom="paragraph">
              <wp:posOffset>100965</wp:posOffset>
            </wp:positionV>
            <wp:extent cx="4652645" cy="2402205"/>
            <wp:effectExtent l="4445" t="4445" r="10160"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560" w:lineRule="exact"/>
        <w:ind w:firstLine="640" w:firstLineChars="200"/>
        <w:outlineLvl w:val="2"/>
        <w:rPr>
          <w:rFonts w:hint="eastAsia" w:ascii="仿宋" w:hAnsi="仿宋" w:eastAsia="仿宋"/>
          <w:color w:val="000000"/>
          <w:sz w:val="32"/>
          <w:szCs w:val="32"/>
        </w:rPr>
      </w:pPr>
    </w:p>
    <w:p>
      <w:pPr>
        <w:spacing w:line="600" w:lineRule="exact"/>
        <w:jc w:val="center"/>
        <w:rPr>
          <w:rFonts w:hint="eastAsia" w:ascii="仿宋" w:hAnsi="仿宋" w:eastAsia="仿宋"/>
          <w:b/>
          <w:color w:val="000000"/>
          <w:sz w:val="32"/>
          <w:szCs w:val="32"/>
        </w:rPr>
      </w:pPr>
      <w:r>
        <w:rPr>
          <w:rFonts w:hint="eastAsia" w:ascii="仿宋_GB2312" w:hAnsi="仿宋_GB2312" w:eastAsia="仿宋_GB2312" w:cs="仿宋_GB2312"/>
          <w:color w:val="000000"/>
          <w:sz w:val="28"/>
          <w:szCs w:val="28"/>
        </w:rPr>
        <w:t>图5：一般公共预算财政拨款支出决算变动情况</w:t>
      </w:r>
      <w:bookmarkStart w:id="30" w:name="_Toc15377211"/>
    </w:p>
    <w:p>
      <w:pPr>
        <w:numPr>
          <w:ilvl w:val="0"/>
          <w:numId w:val="2"/>
        </w:numPr>
        <w:spacing w:line="600" w:lineRule="exact"/>
        <w:ind w:firstLine="640" w:firstLineChars="200"/>
        <w:outlineLvl w:val="2"/>
        <w:rPr>
          <w:rFonts w:hint="eastAsia" w:ascii="楷体_GB2312" w:hAnsi="楷体_GB2312" w:eastAsia="楷体_GB2312" w:cs="楷体_GB2312"/>
          <w:b/>
          <w:color w:val="000000"/>
          <w:sz w:val="32"/>
          <w:szCs w:val="32"/>
          <w:lang w:eastAsia="zh-CN"/>
        </w:rPr>
      </w:pPr>
      <w:r>
        <w:rPr>
          <w:rFonts w:hint="eastAsia" w:ascii="仿宋_GB2312" w:hAnsi="仿宋_GB2312" w:eastAsia="仿宋_GB2312" w:cs="仿宋_GB2312"/>
          <w:b w:val="0"/>
          <w:bCs/>
          <w:color w:val="000000"/>
          <w:sz w:val="32"/>
          <w:szCs w:val="32"/>
          <w:lang w:eastAsia="zh-CN"/>
        </w:rPr>
        <w:drawing>
          <wp:anchor distT="0" distB="0" distL="114300" distR="114300" simplePos="0" relativeHeight="251662336" behindDoc="0" locked="0" layoutInCell="1" allowOverlap="1">
            <wp:simplePos x="0" y="0"/>
            <wp:positionH relativeFrom="column">
              <wp:posOffset>782320</wp:posOffset>
            </wp:positionH>
            <wp:positionV relativeFrom="paragraph">
              <wp:posOffset>2642870</wp:posOffset>
            </wp:positionV>
            <wp:extent cx="3956050" cy="1972310"/>
            <wp:effectExtent l="5080" t="4445" r="20320" b="2349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_GB2312" w:hAnsi="楷体_GB2312" w:eastAsia="楷体_GB2312" w:cs="楷体_GB2312"/>
          <w:b/>
          <w:color w:val="000000"/>
          <w:sz w:val="32"/>
          <w:szCs w:val="32"/>
        </w:rPr>
        <w:t>一般公共预算财政拨款支出决算结构情况</w:t>
      </w:r>
      <w:bookmarkEnd w:id="30"/>
      <w:r>
        <w:rPr>
          <w:rFonts w:hint="eastAsia" w:ascii="楷体_GB2312" w:hAnsi="楷体_GB2312" w:eastAsia="楷体_GB2312" w:cs="楷体_GB2312"/>
          <w:b/>
          <w:color w:val="000000"/>
          <w:sz w:val="32"/>
          <w:szCs w:val="32"/>
          <w:lang w:eastAsia="zh-CN"/>
        </w:rPr>
        <w:t>。</w:t>
      </w:r>
    </w:p>
    <w:p>
      <w:pPr>
        <w:numPr>
          <w:ilvl w:val="0"/>
          <w:numId w:val="0"/>
        </w:numPr>
        <w:spacing w:line="600" w:lineRule="exact"/>
        <w:ind w:firstLine="640" w:firstLineChars="200"/>
        <w:outlineLvl w:val="2"/>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202</w:t>
      </w:r>
      <w:r>
        <w:rPr>
          <w:rFonts w:hint="eastAsia" w:ascii="仿宋_GB2312"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年一般公共预算财政拨款支出</w:t>
      </w:r>
      <w:r>
        <w:rPr>
          <w:rFonts w:hint="eastAsia" w:ascii="仿宋_GB2312" w:hAnsi="仿宋_GB2312" w:cs="仿宋_GB2312"/>
          <w:b w:val="0"/>
          <w:bCs/>
          <w:color w:val="000000"/>
          <w:sz w:val="32"/>
          <w:szCs w:val="32"/>
          <w:lang w:val="en-US" w:eastAsia="zh-CN"/>
        </w:rPr>
        <w:t>1260.31</w:t>
      </w:r>
      <w:r>
        <w:rPr>
          <w:rFonts w:hint="eastAsia" w:ascii="仿宋_GB2312" w:hAnsi="仿宋_GB2312" w:eastAsia="仿宋_GB2312" w:cs="仿宋_GB2312"/>
          <w:b w:val="0"/>
          <w:bCs/>
          <w:color w:val="000000"/>
          <w:sz w:val="32"/>
          <w:szCs w:val="32"/>
        </w:rPr>
        <w:t>万元，主要用于以下方面:一般公共服务（类）支出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%；教育支出（类）</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%；科学技术（类）支出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%；文化旅游体育与传媒（类）支出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%；社会保障和就业（类）支出</w:t>
      </w:r>
      <w:r>
        <w:rPr>
          <w:rFonts w:hint="eastAsia" w:ascii="仿宋_GB2312" w:hAnsi="仿宋_GB2312" w:cs="仿宋_GB2312"/>
          <w:b w:val="0"/>
          <w:bCs/>
          <w:color w:val="000000"/>
          <w:sz w:val="32"/>
          <w:szCs w:val="32"/>
          <w:lang w:val="en-US" w:eastAsia="zh-CN"/>
        </w:rPr>
        <w:t>1206.5</w:t>
      </w:r>
      <w:r>
        <w:rPr>
          <w:rFonts w:hint="eastAsia" w:ascii="仿宋_GB2312" w:hAnsi="仿宋_GB2312" w:eastAsia="仿宋_GB2312" w:cs="仿宋_GB2312"/>
          <w:b w:val="0"/>
          <w:bCs/>
          <w:color w:val="000000"/>
          <w:sz w:val="32"/>
          <w:szCs w:val="32"/>
        </w:rPr>
        <w:t>万元，占</w:t>
      </w:r>
      <w:r>
        <w:rPr>
          <w:rFonts w:hint="eastAsia" w:ascii="仿宋_GB2312" w:hAnsi="仿宋_GB2312" w:eastAsia="仿宋_GB2312" w:cs="仿宋_GB2312"/>
          <w:b w:val="0"/>
          <w:bCs/>
          <w:color w:val="000000"/>
          <w:sz w:val="32"/>
          <w:szCs w:val="32"/>
          <w:lang w:val="en-US" w:eastAsia="zh-CN"/>
        </w:rPr>
        <w:t>95.</w:t>
      </w:r>
      <w:r>
        <w:rPr>
          <w:rFonts w:hint="eastAsia" w:ascii="仿宋_GB2312" w:hAnsi="仿宋_GB2312" w:cs="仿宋_GB2312"/>
          <w:b w:val="0"/>
          <w:bCs/>
          <w:color w:val="000000"/>
          <w:sz w:val="32"/>
          <w:szCs w:val="32"/>
          <w:lang w:val="en-US" w:eastAsia="zh-CN"/>
        </w:rPr>
        <w:t>73</w:t>
      </w:r>
      <w:r>
        <w:rPr>
          <w:rFonts w:hint="eastAsia" w:ascii="仿宋_GB2312" w:hAnsi="仿宋_GB2312" w:eastAsia="仿宋_GB2312" w:cs="仿宋_GB2312"/>
          <w:b w:val="0"/>
          <w:bCs/>
          <w:color w:val="000000"/>
          <w:sz w:val="32"/>
          <w:szCs w:val="32"/>
        </w:rPr>
        <w:t>%；卫生健康支出</w:t>
      </w:r>
      <w:r>
        <w:rPr>
          <w:rFonts w:hint="eastAsia" w:ascii="仿宋_GB2312" w:hAnsi="仿宋_GB2312" w:cs="仿宋_GB2312"/>
          <w:b w:val="0"/>
          <w:bCs/>
          <w:color w:val="000000"/>
          <w:sz w:val="32"/>
          <w:szCs w:val="32"/>
          <w:lang w:val="en-US" w:eastAsia="zh-CN"/>
        </w:rPr>
        <w:t>22.65</w:t>
      </w:r>
      <w:r>
        <w:rPr>
          <w:rFonts w:hint="eastAsia" w:ascii="仿宋_GB2312" w:hAnsi="仿宋_GB2312" w:eastAsia="仿宋_GB2312" w:cs="仿宋_GB2312"/>
          <w:b w:val="0"/>
          <w:bCs/>
          <w:color w:val="000000"/>
          <w:sz w:val="32"/>
          <w:szCs w:val="32"/>
        </w:rPr>
        <w:t>万元，占</w:t>
      </w:r>
      <w:r>
        <w:rPr>
          <w:rFonts w:hint="eastAsia" w:ascii="仿宋_GB2312" w:hAnsi="仿宋_GB2312" w:cs="仿宋_GB2312"/>
          <w:b w:val="0"/>
          <w:bCs/>
          <w:color w:val="000000"/>
          <w:sz w:val="32"/>
          <w:szCs w:val="32"/>
          <w:lang w:val="en-US" w:eastAsia="zh-CN"/>
        </w:rPr>
        <w:t>1.8</w:t>
      </w:r>
      <w:r>
        <w:rPr>
          <w:rFonts w:hint="eastAsia" w:ascii="仿宋_GB2312" w:hAnsi="仿宋_GB2312" w:eastAsia="仿宋_GB2312" w:cs="仿宋_GB2312"/>
          <w:b w:val="0"/>
          <w:bCs/>
          <w:color w:val="000000"/>
          <w:sz w:val="32"/>
          <w:szCs w:val="32"/>
        </w:rPr>
        <w:t>%；住房保障支出</w:t>
      </w:r>
      <w:r>
        <w:rPr>
          <w:rFonts w:hint="eastAsia" w:ascii="仿宋_GB2312" w:hAnsi="仿宋_GB2312" w:cs="仿宋_GB2312"/>
          <w:b w:val="0"/>
          <w:bCs/>
          <w:color w:val="000000"/>
          <w:sz w:val="32"/>
          <w:szCs w:val="32"/>
          <w:lang w:val="en-US" w:eastAsia="zh-CN"/>
        </w:rPr>
        <w:t>31.14</w:t>
      </w:r>
      <w:r>
        <w:rPr>
          <w:rFonts w:hint="eastAsia" w:ascii="仿宋_GB2312" w:hAnsi="仿宋_GB2312" w:eastAsia="仿宋_GB2312" w:cs="仿宋_GB2312"/>
          <w:b w:val="0"/>
          <w:bCs/>
          <w:color w:val="000000"/>
          <w:sz w:val="32"/>
          <w:szCs w:val="32"/>
        </w:rPr>
        <w:t>万元，占</w:t>
      </w:r>
      <w:r>
        <w:rPr>
          <w:rFonts w:hint="eastAsia" w:ascii="仿宋_GB2312" w:hAnsi="仿宋_GB2312" w:cs="仿宋_GB2312"/>
          <w:b w:val="0"/>
          <w:bCs/>
          <w:color w:val="000000"/>
          <w:sz w:val="32"/>
          <w:szCs w:val="32"/>
          <w:lang w:val="en-US" w:eastAsia="zh-CN"/>
        </w:rPr>
        <w:t>2.47</w:t>
      </w:r>
      <w:r>
        <w:rPr>
          <w:rFonts w:hint="eastAsia" w:ascii="仿宋_GB2312" w:hAnsi="仿宋_GB2312" w:eastAsia="仿宋_GB2312" w:cs="仿宋_GB2312"/>
          <w:b w:val="0"/>
          <w:bCs/>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图6：一般公共预算财政拨款支出决算结构</w:t>
      </w:r>
      <w:r>
        <w:rPr>
          <w:rFonts w:hint="eastAsia" w:ascii="仿宋_GB2312" w:hAnsi="仿宋_GB2312" w:cs="仿宋_GB2312"/>
          <w:color w:val="000000"/>
          <w:sz w:val="28"/>
          <w:szCs w:val="28"/>
          <w:lang w:val="en-US" w:eastAsia="zh-CN"/>
        </w:rPr>
        <w:t>图</w:t>
      </w:r>
    </w:p>
    <w:p>
      <w:pPr>
        <w:numPr>
          <w:ilvl w:val="0"/>
          <w:numId w:val="2"/>
        </w:numPr>
        <w:spacing w:line="600" w:lineRule="exact"/>
        <w:ind w:left="0" w:leftChars="0" w:firstLine="643" w:firstLineChars="200"/>
        <w:outlineLvl w:val="2"/>
        <w:rPr>
          <w:rFonts w:hint="eastAsia" w:ascii="楷体_GB2312" w:hAnsi="楷体_GB2312" w:eastAsia="楷体_GB2312" w:cs="楷体_GB2312"/>
          <w:b/>
          <w:color w:val="000000"/>
          <w:sz w:val="32"/>
          <w:szCs w:val="32"/>
          <w:lang w:eastAsia="zh-CN"/>
        </w:rPr>
      </w:pPr>
      <w:bookmarkStart w:id="31" w:name="_Toc15377212"/>
      <w:r>
        <w:rPr>
          <w:rFonts w:hint="eastAsia" w:ascii="楷体_GB2312" w:hAnsi="楷体_GB2312" w:eastAsia="楷体_GB2312" w:cs="楷体_GB2312"/>
          <w:b/>
          <w:color w:val="000000"/>
          <w:sz w:val="32"/>
          <w:szCs w:val="32"/>
        </w:rPr>
        <w:t>一般公共预算财政拨款支出决算具体情况</w:t>
      </w:r>
      <w:bookmarkEnd w:id="31"/>
      <w:r>
        <w:rPr>
          <w:rFonts w:hint="eastAsia" w:ascii="楷体_GB2312" w:hAnsi="楷体_GB2312" w:eastAsia="楷体_GB2312" w:cs="楷体_GB2312"/>
          <w:b/>
          <w:color w:val="000000"/>
          <w:sz w:val="32"/>
          <w:szCs w:val="32"/>
          <w:lang w:eastAsia="zh-CN"/>
        </w:rPr>
        <w:t>。</w:t>
      </w:r>
      <w:bookmarkStart w:id="32" w:name="_Toc15378460"/>
      <w:bookmarkStart w:id="33" w:name="_Toc15377213"/>
      <w:bookmarkStart w:id="34" w:name="_Toc15377444"/>
    </w:p>
    <w:p>
      <w:pPr>
        <w:numPr>
          <w:ilvl w:val="0"/>
          <w:numId w:val="0"/>
        </w:numPr>
        <w:spacing w:line="600" w:lineRule="exact"/>
        <w:ind w:firstLine="640" w:firstLineChars="200"/>
        <w:outlineLvl w:val="2"/>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000000"/>
          <w:sz w:val="32"/>
          <w:szCs w:val="32"/>
        </w:rPr>
        <w:t>202</w:t>
      </w:r>
      <w:r>
        <w:rPr>
          <w:rFonts w:hint="eastAsia" w:ascii="仿宋_GB2312"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年一般公共预算支出决算数为</w:t>
      </w:r>
      <w:r>
        <w:rPr>
          <w:rFonts w:hint="eastAsia" w:ascii="仿宋_GB2312" w:hAnsi="仿宋_GB2312" w:cs="仿宋_GB2312"/>
          <w:b w:val="0"/>
          <w:bCs/>
          <w:color w:val="000000"/>
          <w:sz w:val="32"/>
          <w:szCs w:val="32"/>
          <w:lang w:val="en-US" w:eastAsia="zh-CN"/>
        </w:rPr>
        <w:t>1260.31</w:t>
      </w:r>
      <w:r>
        <w:rPr>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%。其中：</w:t>
      </w:r>
      <w:bookmarkEnd w:id="32"/>
      <w:bookmarkEnd w:id="33"/>
      <w:bookmarkEnd w:id="34"/>
    </w:p>
    <w:p>
      <w:pPr>
        <w:numPr>
          <w:ilvl w:val="0"/>
          <w:numId w:val="0"/>
        </w:numPr>
        <w:spacing w:line="600" w:lineRule="exact"/>
        <w:ind w:firstLine="643" w:firstLineChars="200"/>
        <w:outlineLvl w:val="9"/>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1.</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（款）行政单位离退休（项）: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12.21</w:t>
      </w:r>
      <w:r>
        <w:rPr>
          <w:rFonts w:hint="eastAsia" w:ascii="仿宋_GB2312" w:hAnsi="仿宋_GB2312" w:eastAsia="仿宋_GB2312" w:cs="仿宋_GB2312"/>
          <w:color w:val="000000"/>
        </w:rPr>
        <w:t>万元，完成预算100%。</w:t>
      </w:r>
    </w:p>
    <w:p>
      <w:pPr>
        <w:numPr>
          <w:ilvl w:val="0"/>
          <w:numId w:val="0"/>
        </w:numPr>
        <w:spacing w:line="600" w:lineRule="exact"/>
        <w:ind w:firstLine="643" w:firstLineChars="200"/>
        <w:jc w:val="left"/>
        <w:outlineLvl w:val="9"/>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2.</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（款）事业单位离退休（项）: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10.8</w:t>
      </w:r>
      <w:r>
        <w:rPr>
          <w:rFonts w:hint="eastAsia" w:ascii="仿宋_GB2312" w:hAnsi="仿宋_GB2312" w:eastAsia="仿宋_GB2312" w:cs="仿宋_GB2312"/>
          <w:color w:val="000000"/>
        </w:rPr>
        <w:t>万元，完成预算100%。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3.</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（款）机关事业单位基本养老保险缴费支出（项）: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34.06</w:t>
      </w:r>
      <w:r>
        <w:rPr>
          <w:rFonts w:hint="eastAsia" w:ascii="仿宋_GB2312" w:hAnsi="仿宋_GB2312" w:eastAsia="仿宋_GB2312" w:cs="仿宋_GB2312"/>
          <w:color w:val="000000"/>
        </w:rPr>
        <w:t>万元，完成预算100%。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eastAsia="仿宋_GB2312" w:cs="仿宋_GB2312"/>
          <w:color w:val="000000"/>
          <w:lang w:val="en-US" w:eastAsia="zh-CN"/>
        </w:rPr>
        <w:t>4.</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行政事业单位养老支出</w:t>
      </w:r>
      <w:r>
        <w:rPr>
          <w:rStyle w:val="14"/>
          <w:rFonts w:hint="eastAsia" w:ascii="仿宋_GB2312" w:hAnsi="仿宋_GB2312" w:eastAsia="仿宋_GB2312" w:cs="仿宋_GB2312"/>
          <w:color w:val="000000"/>
        </w:rPr>
        <w:t>（款）机关事业单位职业年金缴费支出（项）: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18.17</w:t>
      </w:r>
      <w:r>
        <w:rPr>
          <w:rFonts w:hint="eastAsia" w:ascii="仿宋_GB2312" w:hAnsi="仿宋_GB2312" w:eastAsia="仿宋_GB2312" w:cs="仿宋_GB2312"/>
          <w:color w:val="000000"/>
        </w:rPr>
        <w:t>万元，完成预算100%。</w:t>
      </w:r>
    </w:p>
    <w:p>
      <w:pPr>
        <w:spacing w:line="590" w:lineRule="exact"/>
        <w:ind w:firstLine="643" w:firstLineChars="200"/>
        <w:rPr>
          <w:rStyle w:val="14"/>
          <w:rFonts w:hint="default" w:ascii="仿宋_GB2312" w:hAnsi="仿宋_GB2312" w:eastAsia="仿宋_GB2312" w:cs="仿宋_GB2312"/>
          <w:color w:val="000000"/>
          <w:lang w:val="en-US" w:eastAsia="zh-CN"/>
        </w:rPr>
      </w:pPr>
      <w:r>
        <w:rPr>
          <w:rStyle w:val="14"/>
          <w:rFonts w:hint="eastAsia" w:ascii="仿宋_GB2312" w:hAnsi="仿宋_GB2312" w:cs="仿宋_GB2312"/>
          <w:color w:val="000000"/>
          <w:lang w:val="en-US" w:eastAsia="zh-CN"/>
        </w:rPr>
        <w:t>5.社会保障和就业支出（类）抚恤（款）死亡抚恤（项）：</w:t>
      </w:r>
      <w:r>
        <w:rPr>
          <w:rStyle w:val="14"/>
          <w:rFonts w:hint="eastAsia" w:ascii="仿宋_GB2312" w:hAnsi="仿宋_GB2312" w:cs="仿宋_GB2312"/>
          <w:b w:val="0"/>
          <w:bCs/>
          <w:color w:val="000000"/>
          <w:lang w:val="en-US" w:eastAsia="zh-CN"/>
        </w:rPr>
        <w:t>支出决算为17.52万元，</w:t>
      </w:r>
      <w:r>
        <w:rPr>
          <w:rFonts w:hint="eastAsia" w:ascii="仿宋_GB2312" w:hAnsi="仿宋_GB2312" w:eastAsia="仿宋_GB2312" w:cs="仿宋_GB2312"/>
          <w:b w:val="0"/>
          <w:bCs/>
          <w:color w:val="000000"/>
        </w:rPr>
        <w:t>完成</w:t>
      </w:r>
      <w:r>
        <w:rPr>
          <w:rFonts w:hint="eastAsia" w:ascii="仿宋_GB2312" w:hAnsi="仿宋_GB2312" w:eastAsia="仿宋_GB2312" w:cs="仿宋_GB2312"/>
          <w:color w:val="000000"/>
        </w:rPr>
        <w:t>预算100%。</w:t>
      </w:r>
    </w:p>
    <w:p>
      <w:pPr>
        <w:spacing w:line="590" w:lineRule="exact"/>
        <w:ind w:firstLine="643" w:firstLineChars="200"/>
        <w:rPr>
          <w:rFonts w:hint="eastAsia" w:ascii="仿宋_GB2312" w:hAnsi="仿宋_GB2312" w:eastAsia="仿宋_GB2312" w:cs="仿宋_GB2312"/>
          <w:color w:val="000000"/>
        </w:rPr>
      </w:pPr>
      <w:r>
        <w:rPr>
          <w:rStyle w:val="14"/>
          <w:rFonts w:hint="eastAsia" w:ascii="仿宋_GB2312" w:hAnsi="仿宋_GB2312" w:cs="仿宋_GB2312"/>
          <w:color w:val="000000"/>
          <w:lang w:val="en-US" w:eastAsia="zh-CN"/>
        </w:rPr>
        <w:t>6</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（类）残疾人事业（款）行政运行（项）: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194.69</w:t>
      </w:r>
      <w:r>
        <w:rPr>
          <w:rFonts w:hint="eastAsia" w:ascii="仿宋_GB2312" w:hAnsi="仿宋_GB2312" w:eastAsia="仿宋_GB2312" w:cs="仿宋_GB2312"/>
          <w:color w:val="000000"/>
        </w:rPr>
        <w:t>万元，完成预算100%。</w:t>
      </w:r>
    </w:p>
    <w:p>
      <w:pPr>
        <w:spacing w:line="600" w:lineRule="exact"/>
        <w:ind w:firstLine="643" w:firstLineChars="200"/>
        <w:rPr>
          <w:rFonts w:hint="eastAsia" w:ascii="仿宋_GB2312" w:hAnsi="仿宋_GB2312" w:eastAsia="仿宋_GB2312" w:cs="仿宋_GB2312"/>
          <w:b/>
          <w:color w:val="000000"/>
          <w:sz w:val="32"/>
          <w:szCs w:val="32"/>
          <w:lang w:val="en-US" w:eastAsia="zh-CN"/>
        </w:rPr>
      </w:pPr>
      <w:r>
        <w:rPr>
          <w:rStyle w:val="14"/>
          <w:rFonts w:hint="eastAsia" w:ascii="仿宋_GB2312" w:hAnsi="仿宋_GB2312" w:cs="仿宋_GB2312"/>
          <w:color w:val="000000"/>
          <w:lang w:val="en-US" w:eastAsia="zh-CN"/>
        </w:rPr>
        <w:t>7</w:t>
      </w:r>
      <w:r>
        <w:rPr>
          <w:rStyle w:val="14"/>
          <w:rFonts w:hint="eastAsia" w:ascii="仿宋_GB2312" w:hAnsi="仿宋_GB2312" w:eastAsia="仿宋_GB2312" w:cs="仿宋_GB2312"/>
          <w:color w:val="000000"/>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（类）残疾人事业（款）一般行政管理事务（项）: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2.69</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color w:val="000000"/>
        </w:rPr>
      </w:pP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lang w:val="en-US" w:eastAsia="zh-CN"/>
        </w:rPr>
        <w:t>.</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（类）残疾人事业（款）机关服务（项）: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182</w:t>
      </w:r>
      <w:r>
        <w:rPr>
          <w:rFonts w:hint="eastAsia" w:ascii="仿宋_GB2312" w:hAnsi="仿宋_GB2312" w:eastAsia="仿宋_GB2312" w:cs="仿宋_GB2312"/>
          <w:color w:val="000000"/>
        </w:rPr>
        <w:t>万元，完成预算100%。</w:t>
      </w:r>
    </w:p>
    <w:p>
      <w:pPr>
        <w:spacing w:line="60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lang w:val="en-US" w:eastAsia="zh-CN"/>
        </w:rPr>
        <w:t>9.</w:t>
      </w:r>
      <w:r>
        <w:rPr>
          <w:rStyle w:val="14"/>
          <w:rFonts w:hint="eastAsia" w:ascii="仿宋_GB2312" w:hAnsi="仿宋_GB2312" w:eastAsia="仿宋_GB2312" w:cs="仿宋_GB2312"/>
          <w:color w:val="000000"/>
        </w:rPr>
        <w:t>社会保障和就业</w:t>
      </w:r>
      <w:r>
        <w:rPr>
          <w:rStyle w:val="14"/>
          <w:rFonts w:hint="eastAsia" w:ascii="仿宋_GB2312" w:hAnsi="仿宋_GB2312" w:eastAsia="仿宋_GB2312" w:cs="仿宋_GB2312"/>
          <w:color w:val="000000"/>
          <w:lang w:eastAsia="zh-CN"/>
        </w:rPr>
        <w:t>支出</w:t>
      </w:r>
      <w:r>
        <w:rPr>
          <w:rStyle w:val="14"/>
          <w:rFonts w:hint="eastAsia" w:ascii="仿宋_GB2312" w:hAnsi="仿宋_GB2312" w:eastAsia="仿宋_GB2312" w:cs="仿宋_GB2312"/>
          <w:color w:val="000000"/>
        </w:rPr>
        <w:t>（类）残疾人事业（款）其他残疾人事业支出（项）: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734.36</w:t>
      </w:r>
      <w:r>
        <w:rPr>
          <w:rFonts w:hint="eastAsia" w:ascii="仿宋_GB2312" w:hAnsi="仿宋_GB2312" w:eastAsia="仿宋_GB2312" w:cs="仿宋_GB2312"/>
          <w:color w:val="000000"/>
        </w:rPr>
        <w:t>万元，完成预算</w:t>
      </w:r>
      <w:r>
        <w:rPr>
          <w:rFonts w:hint="eastAsia" w:ascii="仿宋_GB2312" w:hAnsi="仿宋_GB2312" w:cs="仿宋_GB2312"/>
          <w:color w:val="000000"/>
          <w:lang w:val="en-US" w:eastAsia="zh-CN"/>
        </w:rPr>
        <w:t>100</w:t>
      </w:r>
      <w:r>
        <w:rPr>
          <w:rFonts w:hint="eastAsia" w:ascii="仿宋_GB2312" w:hAnsi="仿宋_GB2312" w:eastAsia="仿宋_GB2312" w:cs="仿宋_GB2312"/>
          <w:color w:val="000000"/>
        </w:rPr>
        <w:t>%。</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lang w:val="en-US" w:eastAsia="zh-CN"/>
        </w:rPr>
        <w:t>10.</w:t>
      </w:r>
      <w:r>
        <w:rPr>
          <w:rStyle w:val="14"/>
          <w:rFonts w:hint="eastAsia" w:ascii="仿宋_GB2312" w:hAnsi="仿宋_GB2312" w:eastAsia="仿宋_GB2312" w:cs="仿宋_GB2312"/>
          <w:color w:val="000000"/>
          <w:lang w:eastAsia="zh-CN"/>
        </w:rPr>
        <w:t>卫生健康支出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行政事业单位医疗</w:t>
      </w:r>
      <w:r>
        <w:rPr>
          <w:rStyle w:val="14"/>
          <w:rFonts w:hint="eastAsia" w:ascii="仿宋_GB2312" w:hAnsi="仿宋_GB2312" w:eastAsia="仿宋_GB2312" w:cs="仿宋_GB2312"/>
          <w:color w:val="000000"/>
        </w:rPr>
        <w:t>（款）行政单位医疗（项）: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11.94</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lang w:val="en-US" w:eastAsia="zh-CN"/>
        </w:rPr>
        <w:t>11.</w:t>
      </w:r>
      <w:r>
        <w:rPr>
          <w:rStyle w:val="14"/>
          <w:rFonts w:hint="eastAsia" w:ascii="仿宋_GB2312" w:hAnsi="仿宋_GB2312" w:eastAsia="仿宋_GB2312" w:cs="仿宋_GB2312"/>
          <w:color w:val="000000"/>
          <w:lang w:eastAsia="zh-CN"/>
        </w:rPr>
        <w:t>卫生健康支出</w:t>
      </w:r>
      <w:r>
        <w:rPr>
          <w:rStyle w:val="14"/>
          <w:rFonts w:hint="eastAsia" w:ascii="仿宋_GB2312" w:hAnsi="仿宋_GB2312" w:eastAsia="仿宋_GB2312" w:cs="仿宋_GB2312"/>
          <w:color w:val="000000"/>
        </w:rPr>
        <w:t>（类）</w:t>
      </w:r>
      <w:r>
        <w:rPr>
          <w:rStyle w:val="14"/>
          <w:rFonts w:hint="eastAsia" w:ascii="仿宋_GB2312" w:hAnsi="仿宋_GB2312" w:eastAsia="仿宋_GB2312" w:cs="仿宋_GB2312"/>
          <w:color w:val="000000"/>
          <w:lang w:eastAsia="zh-CN"/>
        </w:rPr>
        <w:t>行政事业单位医疗</w:t>
      </w:r>
      <w:r>
        <w:rPr>
          <w:rStyle w:val="14"/>
          <w:rFonts w:hint="eastAsia" w:ascii="仿宋_GB2312" w:hAnsi="仿宋_GB2312" w:eastAsia="仿宋_GB2312" w:cs="仿宋_GB2312"/>
          <w:color w:val="000000"/>
        </w:rPr>
        <w:t>（款）</w:t>
      </w:r>
      <w:r>
        <w:rPr>
          <w:rStyle w:val="14"/>
          <w:rFonts w:hint="eastAsia" w:ascii="仿宋_GB2312" w:hAnsi="仿宋_GB2312" w:eastAsia="仿宋_GB2312" w:cs="仿宋_GB2312"/>
          <w:color w:val="000000"/>
          <w:lang w:eastAsia="zh-CN"/>
        </w:rPr>
        <w:t>事业</w:t>
      </w:r>
      <w:r>
        <w:rPr>
          <w:rStyle w:val="14"/>
          <w:rFonts w:hint="eastAsia" w:ascii="仿宋_GB2312" w:hAnsi="仿宋_GB2312" w:eastAsia="仿宋_GB2312" w:cs="仿宋_GB2312"/>
          <w:color w:val="000000"/>
        </w:rPr>
        <w:t>单位医疗（项）:</w:t>
      </w:r>
      <w:r>
        <w:rPr>
          <w:rFonts w:hint="eastAsia" w:ascii="仿宋_GB2312" w:hAnsi="仿宋_GB2312" w:eastAsia="仿宋_GB2312" w:cs="仿宋_GB2312"/>
          <w:color w:val="000000"/>
        </w:rPr>
        <w:t>支出决算为</w:t>
      </w:r>
      <w:r>
        <w:rPr>
          <w:rFonts w:hint="eastAsia" w:ascii="仿宋_GB2312" w:hAnsi="仿宋_GB2312" w:cs="仿宋_GB2312"/>
          <w:color w:val="000000"/>
          <w:lang w:val="en-US" w:eastAsia="zh-CN"/>
        </w:rPr>
        <w:t>10.71</w:t>
      </w:r>
      <w:r>
        <w:rPr>
          <w:rFonts w:hint="eastAsia" w:ascii="仿宋_GB2312" w:hAnsi="仿宋_GB2312" w:eastAsia="仿宋_GB2312" w:cs="仿宋_GB2312"/>
          <w:color w:val="000000"/>
        </w:rPr>
        <w:t>万元，完成预算100%。</w:t>
      </w:r>
    </w:p>
    <w:p>
      <w:pPr>
        <w:spacing w:line="59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lang w:val="en-US" w:eastAsia="zh-CN"/>
        </w:rPr>
        <w:t>12.</w:t>
      </w:r>
      <w:r>
        <w:rPr>
          <w:rStyle w:val="14"/>
          <w:rFonts w:hint="eastAsia" w:ascii="仿宋_GB2312" w:hAnsi="仿宋_GB2312" w:eastAsia="仿宋_GB2312" w:cs="仿宋_GB2312"/>
          <w:color w:val="000000"/>
        </w:rPr>
        <w:t>住房保障支出（类）住房改革支出（款）住房公积金（项）:</w:t>
      </w:r>
      <w:r>
        <w:rPr>
          <w:rFonts w:hint="eastAsia" w:ascii="仿宋_GB2312" w:hAnsi="仿宋_GB2312" w:eastAsia="仿宋_GB2312" w:cs="仿宋_GB2312"/>
          <w:color w:val="000000"/>
        </w:rPr>
        <w:t xml:space="preserve"> 支出决算为</w:t>
      </w:r>
      <w:r>
        <w:rPr>
          <w:rFonts w:hint="eastAsia" w:ascii="仿宋_GB2312" w:hAnsi="仿宋_GB2312" w:cs="仿宋_GB2312"/>
          <w:color w:val="000000"/>
          <w:lang w:val="en-US" w:eastAsia="zh-CN"/>
        </w:rPr>
        <w:t>31.14</w:t>
      </w:r>
      <w:r>
        <w:rPr>
          <w:rFonts w:hint="eastAsia" w:ascii="仿宋_GB2312" w:hAnsi="仿宋_GB2312" w:eastAsia="仿宋_GB2312" w:cs="仿宋_GB2312"/>
          <w:color w:val="000000"/>
        </w:rPr>
        <w:t>万元，完成预算100%。</w:t>
      </w:r>
    </w:p>
    <w:p>
      <w:pPr>
        <w:spacing w:line="600" w:lineRule="exact"/>
        <w:ind w:firstLine="640" w:firstLineChars="200"/>
        <w:outlineLvl w:val="1"/>
        <w:rPr>
          <w:rFonts w:hint="eastAsia" w:ascii="黑体" w:hAnsi="黑体" w:eastAsia="黑体"/>
          <w:color w:val="000000"/>
          <w:sz w:val="32"/>
          <w:szCs w:val="32"/>
        </w:rPr>
      </w:pPr>
      <w:bookmarkStart w:id="35" w:name="_Toc31021"/>
      <w:bookmarkStart w:id="36" w:name="_Toc15396608"/>
      <w:bookmarkStart w:id="37" w:name="_Toc15377214"/>
      <w:r>
        <w:rPr>
          <w:rFonts w:hint="eastAsia" w:ascii="黑体" w:hAnsi="黑体" w:eastAsia="黑体"/>
          <w:color w:val="000000"/>
          <w:sz w:val="32"/>
          <w:szCs w:val="32"/>
        </w:rPr>
        <w:t>六、一般公共预算财政拨款基本支出决算情况说明</w:t>
      </w:r>
      <w:bookmarkEnd w:id="35"/>
      <w:bookmarkEnd w:id="36"/>
      <w:bookmarkEnd w:id="37"/>
      <w:r>
        <w:rPr>
          <w:rFonts w:hint="eastAsia" w:ascii="黑体" w:hAnsi="黑体" w:eastAsia="黑体"/>
          <w:color w:val="000000"/>
          <w:sz w:val="32"/>
          <w:szCs w:val="32"/>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cs="仿宋_GB2312"/>
          <w:color w:val="000000"/>
          <w:sz w:val="32"/>
          <w:szCs w:val="32"/>
          <w:lang w:val="en-US" w:eastAsia="zh-CN"/>
        </w:rPr>
        <w:t>558.34</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cs="仿宋_GB2312"/>
          <w:color w:val="000000"/>
          <w:sz w:val="32"/>
          <w:szCs w:val="32"/>
          <w:lang w:val="en-US" w:eastAsia="zh-CN"/>
        </w:rPr>
        <w:t>489.21</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w:t>
      </w:r>
      <w:r>
        <w:rPr>
          <w:rFonts w:hint="eastAsia" w:ascii="仿宋_GB2312" w:hAnsi="仿宋_GB2312" w:cs="仿宋_GB2312"/>
          <w:color w:val="000000"/>
          <w:sz w:val="32"/>
          <w:szCs w:val="32"/>
          <w:lang w:eastAsia="zh-CN"/>
        </w:rPr>
        <w:t>职工基本医疗保险缴费、</w:t>
      </w:r>
      <w:r>
        <w:rPr>
          <w:rFonts w:hint="eastAsia" w:ascii="仿宋_GB2312" w:hAnsi="仿宋_GB2312" w:eastAsia="仿宋_GB2312" w:cs="仿宋_GB2312"/>
          <w:color w:val="000000"/>
          <w:sz w:val="32"/>
          <w:szCs w:val="32"/>
        </w:rPr>
        <w:t>其他社会保障缴费、其他工资福利支出、住房公积金、其他对个人和家庭的补助支出等。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w:t>
      </w:r>
      <w:r>
        <w:rPr>
          <w:rFonts w:hint="eastAsia" w:ascii="仿宋_GB2312" w:hAnsi="仿宋_GB2312" w:cs="仿宋_GB2312"/>
          <w:color w:val="000000"/>
          <w:sz w:val="32"/>
          <w:szCs w:val="32"/>
          <w:lang w:val="en-US" w:eastAsia="zh-CN"/>
        </w:rPr>
        <w:t>69.13</w:t>
      </w:r>
      <w:r>
        <w:rPr>
          <w:rFonts w:hint="eastAsia" w:ascii="仿宋_GB2312" w:hAnsi="仿宋_GB2312" w:eastAsia="仿宋_GB2312" w:cs="仿宋_GB2312"/>
          <w:color w:val="000000"/>
          <w:sz w:val="32"/>
          <w:szCs w:val="32"/>
        </w:rPr>
        <w:t>万元，主要包括：办公费、咨询费、手续费、水费、电费、邮电费、物业管理费、差旅费、维修（护）费、公务接待费、劳务费</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工会经费、福利费、公务用车运行维护费、其他交通费、其他商品和服务支出等。</w:t>
      </w:r>
    </w:p>
    <w:p>
      <w:pPr>
        <w:spacing w:line="600" w:lineRule="exact"/>
        <w:ind w:firstLine="640" w:firstLineChars="200"/>
        <w:outlineLvl w:val="1"/>
        <w:rPr>
          <w:rStyle w:val="18"/>
          <w:rFonts w:hint="eastAsia" w:ascii="黑体" w:hAnsi="黑体" w:eastAsia="黑体"/>
          <w:b w:val="0"/>
        </w:rPr>
      </w:pPr>
      <w:bookmarkStart w:id="38" w:name="_Toc15396609"/>
      <w:bookmarkStart w:id="39" w:name="_Toc6926"/>
      <w:bookmarkStart w:id="40" w:name="_Toc15377215"/>
      <w:r>
        <w:rPr>
          <w:rStyle w:val="18"/>
          <w:rFonts w:hint="eastAsia" w:ascii="黑体" w:hAnsi="黑体" w:eastAsia="黑体"/>
          <w:b w:val="0"/>
        </w:rPr>
        <w:t>七、“三公”经费财政拨款支出决算情况说明</w:t>
      </w:r>
      <w:bookmarkEnd w:id="38"/>
      <w:bookmarkEnd w:id="39"/>
      <w:bookmarkEnd w:id="40"/>
    </w:p>
    <w:p>
      <w:pPr>
        <w:spacing w:line="600" w:lineRule="exact"/>
        <w:ind w:firstLine="640"/>
        <w:outlineLvl w:val="2"/>
        <w:rPr>
          <w:rFonts w:hint="eastAsia" w:ascii="楷体_GB2312" w:hAnsi="楷体_GB2312" w:eastAsia="楷体_GB2312" w:cs="楷体_GB2312"/>
          <w:b/>
          <w:color w:val="000000"/>
          <w:sz w:val="32"/>
          <w:szCs w:val="32"/>
          <w:lang w:eastAsia="zh-CN"/>
        </w:rPr>
      </w:pPr>
      <w:bookmarkStart w:id="41" w:name="_Toc15377216"/>
      <w:r>
        <w:rPr>
          <w:rFonts w:hint="eastAsia" w:ascii="楷体_GB2312" w:hAnsi="楷体_GB2312" w:eastAsia="楷体_GB2312" w:cs="楷体_GB2312"/>
          <w:b/>
          <w:color w:val="000000"/>
          <w:sz w:val="32"/>
          <w:szCs w:val="32"/>
        </w:rPr>
        <w:t>（一）“三公”经费财政拨款支出决算总体情况说明</w:t>
      </w:r>
      <w:bookmarkEnd w:id="41"/>
      <w:r>
        <w:rPr>
          <w:rFonts w:hint="eastAsia" w:ascii="楷体_GB2312" w:hAnsi="楷体_GB2312" w:eastAsia="楷体_GB2312" w:cs="楷体_GB2312"/>
          <w:b/>
          <w:color w:val="000000"/>
          <w:sz w:val="32"/>
          <w:szCs w:val="32"/>
          <w:lang w:eastAsia="zh-CN"/>
        </w:rPr>
        <w:t>。</w:t>
      </w:r>
    </w:p>
    <w:p>
      <w:pPr>
        <w:spacing w:line="600" w:lineRule="exact"/>
        <w:ind w:firstLine="640"/>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年“三公”经费财政拨款支出决算为</w:t>
      </w:r>
      <w:r>
        <w:rPr>
          <w:rFonts w:hint="eastAsia" w:ascii="仿宋_GB2312" w:hAnsi="仿宋_GB2312" w:cs="仿宋_GB2312"/>
          <w:color w:val="000000"/>
          <w:sz w:val="32"/>
          <w:szCs w:val="32"/>
          <w:lang w:val="en-US" w:eastAsia="zh-CN"/>
        </w:rPr>
        <w:t>3.86</w:t>
      </w:r>
      <w:r>
        <w:rPr>
          <w:rFonts w:hint="eastAsia" w:ascii="仿宋_GB2312" w:hAnsi="仿宋_GB2312" w:eastAsia="仿宋_GB2312" w:cs="仿宋_GB2312"/>
          <w:color w:val="000000"/>
          <w:sz w:val="32"/>
          <w:szCs w:val="32"/>
        </w:rPr>
        <w:t>万元，完成预算</w:t>
      </w:r>
      <w:r>
        <w:rPr>
          <w:rFonts w:hint="eastAsia" w:ascii="仿宋_GB2312" w:hAnsi="仿宋_GB2312" w:cs="仿宋_GB2312"/>
          <w:color w:val="000000"/>
          <w:sz w:val="32"/>
          <w:szCs w:val="32"/>
          <w:lang w:val="en-US" w:eastAsia="zh-CN"/>
        </w:rPr>
        <w:t>80.58</w:t>
      </w:r>
      <w:r>
        <w:rPr>
          <w:rFonts w:hint="eastAsia" w:ascii="仿宋_GB2312" w:hAnsi="仿宋_GB2312" w:eastAsia="仿宋_GB2312" w:cs="仿宋_GB2312"/>
          <w:color w:val="000000"/>
          <w:sz w:val="32"/>
          <w:szCs w:val="32"/>
        </w:rPr>
        <w:t>%，决算数小于预算数的主要原因是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公务用车运行</w:t>
      </w:r>
      <w:r>
        <w:rPr>
          <w:rFonts w:hint="eastAsia" w:ascii="仿宋_GB2312" w:hAnsi="仿宋_GB2312" w:cs="仿宋_GB2312"/>
          <w:color w:val="000000"/>
          <w:sz w:val="32"/>
          <w:szCs w:val="32"/>
          <w:lang w:eastAsia="zh-CN"/>
        </w:rPr>
        <w:t>维护</w:t>
      </w:r>
      <w:r>
        <w:rPr>
          <w:rFonts w:hint="eastAsia"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lang w:eastAsia="zh-CN"/>
        </w:rPr>
        <w:t>决算数比预算数少</w:t>
      </w:r>
      <w:r>
        <w:rPr>
          <w:rFonts w:hint="eastAsia" w:ascii="仿宋_GB2312" w:hAnsi="仿宋_GB2312" w:cs="仿宋_GB2312"/>
          <w:color w:val="000000"/>
          <w:sz w:val="32"/>
          <w:szCs w:val="32"/>
          <w:lang w:val="en-US" w:eastAsia="zh-CN"/>
        </w:rPr>
        <w:t>0.5</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公务接待费</w:t>
      </w:r>
      <w:r>
        <w:rPr>
          <w:rFonts w:hint="eastAsia" w:ascii="仿宋_GB2312" w:hAnsi="仿宋_GB2312" w:eastAsia="仿宋_GB2312" w:cs="仿宋_GB2312"/>
          <w:color w:val="000000"/>
          <w:sz w:val="32"/>
          <w:szCs w:val="32"/>
          <w:lang w:eastAsia="zh-CN"/>
        </w:rPr>
        <w:t>决算数比预算数少</w:t>
      </w:r>
      <w:r>
        <w:rPr>
          <w:rFonts w:hint="eastAsia" w:ascii="仿宋_GB2312" w:hAnsi="仿宋_GB2312" w:cs="仿宋_GB2312"/>
          <w:color w:val="000000"/>
          <w:sz w:val="32"/>
          <w:szCs w:val="32"/>
          <w:lang w:val="en-US" w:eastAsia="zh-CN"/>
        </w:rPr>
        <w:t>0.44</w:t>
      </w:r>
      <w:r>
        <w:rPr>
          <w:rFonts w:hint="eastAsia" w:ascii="仿宋_GB2312" w:hAnsi="仿宋_GB2312" w:eastAsia="仿宋_GB2312" w:cs="仿宋_GB2312"/>
          <w:color w:val="000000"/>
          <w:sz w:val="32"/>
          <w:szCs w:val="32"/>
          <w:lang w:val="en-US" w:eastAsia="zh-CN"/>
        </w:rPr>
        <w:t>万元。</w:t>
      </w:r>
    </w:p>
    <w:p>
      <w:pPr>
        <w:numPr>
          <w:ilvl w:val="0"/>
          <w:numId w:val="3"/>
        </w:numPr>
        <w:spacing w:line="600" w:lineRule="exact"/>
        <w:ind w:firstLine="640"/>
        <w:outlineLvl w:val="2"/>
        <w:rPr>
          <w:rFonts w:hint="eastAsia" w:ascii="楷体_GB2312" w:hAnsi="楷体_GB2312" w:eastAsia="楷体_GB2312" w:cs="楷体_GB2312"/>
          <w:b/>
          <w:color w:val="000000"/>
          <w:sz w:val="32"/>
          <w:szCs w:val="32"/>
          <w:lang w:eastAsia="zh-CN"/>
        </w:rPr>
      </w:pPr>
      <w:bookmarkStart w:id="42" w:name="_Toc15377217"/>
      <w:r>
        <w:rPr>
          <w:rFonts w:hint="eastAsia" w:ascii="楷体_GB2312" w:hAnsi="楷体_GB2312" w:eastAsia="楷体_GB2312" w:cs="楷体_GB2312"/>
          <w:b/>
          <w:color w:val="000000"/>
          <w:sz w:val="32"/>
          <w:szCs w:val="32"/>
        </w:rPr>
        <w:t>“三公”经费财政拨款支出决算具体情况说明</w:t>
      </w:r>
      <w:bookmarkEnd w:id="42"/>
      <w:r>
        <w:rPr>
          <w:rFonts w:hint="eastAsia" w:ascii="楷体_GB2312" w:hAnsi="楷体_GB2312" w:eastAsia="楷体_GB2312" w:cs="楷体_GB2312"/>
          <w:b/>
          <w:color w:val="000000"/>
          <w:sz w:val="32"/>
          <w:szCs w:val="32"/>
          <w:lang w:eastAsia="zh-CN"/>
        </w:rPr>
        <w:t>。</w:t>
      </w:r>
    </w:p>
    <w:p>
      <w:pPr>
        <w:numPr>
          <w:ilvl w:val="0"/>
          <w:numId w:val="0"/>
        </w:numPr>
        <w:spacing w:line="600" w:lineRule="exact"/>
        <w:ind w:firstLine="640" w:firstLineChars="200"/>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cs="仿宋_GB2312"/>
          <w:color w:val="000000"/>
          <w:sz w:val="32"/>
          <w:szCs w:val="32"/>
          <w:lang w:val="en-US" w:eastAsia="zh-CN"/>
        </w:rPr>
        <w:t>3.35</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87</w:t>
      </w:r>
      <w:r>
        <w:rPr>
          <w:rFonts w:hint="eastAsia" w:ascii="仿宋_GB2312" w:hAnsi="仿宋_GB2312" w:eastAsia="仿宋_GB2312" w:cs="仿宋_GB2312"/>
          <w:color w:val="000000"/>
          <w:sz w:val="32"/>
          <w:szCs w:val="32"/>
        </w:rPr>
        <w:t>%；公务接待费支出决算</w:t>
      </w:r>
      <w:r>
        <w:rPr>
          <w:rFonts w:hint="eastAsia" w:ascii="仿宋_GB2312" w:hAnsi="仿宋_GB2312" w:cs="仿宋_GB2312"/>
          <w:color w:val="000000"/>
          <w:sz w:val="32"/>
          <w:szCs w:val="32"/>
          <w:lang w:val="en-US" w:eastAsia="zh-CN"/>
        </w:rPr>
        <w:t>0.5</w:t>
      </w:r>
      <w:r>
        <w:rPr>
          <w:rFonts w:hint="eastAsia" w:ascii="仿宋_GB2312" w:hAnsi="仿宋_GB2312" w:eastAsia="仿宋_GB2312" w:cs="仿宋_GB2312"/>
          <w:color w:val="000000"/>
          <w:sz w:val="32"/>
          <w:szCs w:val="32"/>
        </w:rPr>
        <w:t>万元，占</w:t>
      </w:r>
      <w:r>
        <w:rPr>
          <w:rFonts w:hint="eastAsia" w:ascii="仿宋_GB2312" w:hAnsi="仿宋_GB2312" w:cs="仿宋_GB2312"/>
          <w:color w:val="000000"/>
          <w:sz w:val="32"/>
          <w:szCs w:val="32"/>
          <w:lang w:val="en-US" w:eastAsia="zh-CN"/>
        </w:rPr>
        <w:t>13</w:t>
      </w:r>
      <w:r>
        <w:rPr>
          <w:rFonts w:hint="eastAsia" w:ascii="仿宋_GB2312" w:hAnsi="仿宋_GB2312" w:eastAsia="仿宋_GB2312" w:cs="仿宋_GB2312"/>
          <w:color w:val="000000"/>
          <w:sz w:val="32"/>
          <w:szCs w:val="32"/>
        </w:rPr>
        <w:t>%。具体情况如下：</w:t>
      </w:r>
    </w:p>
    <w:p>
      <w:pPr>
        <w:spacing w:line="600" w:lineRule="exact"/>
        <w:ind w:firstLine="640"/>
        <w:rPr>
          <w:rFonts w:hint="eastAsia" w:ascii="仿宋" w:hAnsi="仿宋" w:eastAsia="仿宋"/>
          <w:color w:val="000000"/>
          <w:sz w:val="32"/>
          <w:szCs w:val="32"/>
          <w:lang w:val="en-US" w:eastAsia="zh-CN"/>
        </w:rPr>
      </w:pPr>
      <w:r>
        <w:rPr>
          <w:rFonts w:hint="default" w:ascii="仿宋" w:hAnsi="仿宋" w:eastAsia="仿宋"/>
          <w:color w:val="000000"/>
          <w:sz w:val="32"/>
          <w:szCs w:val="32"/>
          <w:lang w:val="en-US" w:eastAsia="zh-CN"/>
        </w:rPr>
        <w:drawing>
          <wp:anchor distT="0" distB="0" distL="114300" distR="114300" simplePos="0" relativeHeight="251663360" behindDoc="0" locked="0" layoutInCell="1" allowOverlap="1">
            <wp:simplePos x="0" y="0"/>
            <wp:positionH relativeFrom="column">
              <wp:posOffset>963295</wp:posOffset>
            </wp:positionH>
            <wp:positionV relativeFrom="paragraph">
              <wp:posOffset>60960</wp:posOffset>
            </wp:positionV>
            <wp:extent cx="3985260" cy="2095500"/>
            <wp:effectExtent l="4445" t="4445" r="1079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jc w:val="center"/>
        <w:rPr>
          <w:rFonts w:hint="eastAsia" w:ascii="仿宋_GB2312"/>
          <w:b/>
          <w:color w:val="000000"/>
          <w:sz w:val="32"/>
          <w:szCs w:val="32"/>
          <w:lang w:val="en-US" w:eastAsia="zh-CN"/>
        </w:rPr>
      </w:pPr>
      <w:r>
        <w:rPr>
          <w:rFonts w:hint="eastAsia" w:ascii="仿宋_GB2312" w:hAnsi="仿宋_GB2312" w:eastAsia="仿宋_GB2312" w:cs="仿宋_GB2312"/>
          <w:color w:val="000000"/>
          <w:sz w:val="28"/>
          <w:szCs w:val="28"/>
        </w:rPr>
        <w:t>图7：“三公”经费财政拨款支出结构</w:t>
      </w:r>
    </w:p>
    <w:p>
      <w:pPr>
        <w:numPr>
          <w:ilvl w:val="0"/>
          <w:numId w:val="0"/>
        </w:numPr>
        <w:spacing w:line="600" w:lineRule="exact"/>
        <w:ind w:firstLine="643" w:firstLineChars="200"/>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w:t>
      </w:r>
      <w:r>
        <w:rPr>
          <w:rFonts w:hint="eastAsia" w:ascii="仿宋_GB2312" w:hAnsi="仿宋_GB2312" w:eastAsia="仿宋_GB2312" w:cs="仿宋_GB2312"/>
          <w:b/>
          <w:bCs w:val="0"/>
          <w:color w:val="000000"/>
          <w:sz w:val="32"/>
          <w:szCs w:val="32"/>
        </w:rPr>
        <w:t>因公出国（境）经费支出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Fonts w:hint="eastAsia" w:ascii="仿宋_GB2312" w:hAnsi="仿宋_GB2312" w:cs="仿宋_GB2312"/>
          <w:b/>
          <w:bCs w:val="0"/>
          <w:color w:val="000000"/>
          <w:sz w:val="32"/>
          <w:szCs w:val="32"/>
          <w:lang w:eastAsia="zh-CN"/>
        </w:rPr>
        <w:t>完成</w:t>
      </w:r>
      <w:r>
        <w:rPr>
          <w:rStyle w:val="14"/>
          <w:rFonts w:hint="eastAsia" w:ascii="仿宋_GB2312" w:hAnsi="仿宋_GB2312" w:eastAsia="仿宋_GB2312" w:cs="仿宋_GB2312"/>
          <w:b/>
          <w:bCs w:val="0"/>
          <w:color w:val="000000"/>
          <w:sz w:val="32"/>
          <w:szCs w:val="32"/>
        </w:rPr>
        <w:t>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cs="仿宋_GB2312"/>
          <w:b w:val="0"/>
          <w:bCs/>
          <w:color w:val="000000"/>
          <w:sz w:val="32"/>
          <w:szCs w:val="32"/>
          <w:lang w:val="en-US" w:eastAsia="zh-CN"/>
        </w:rPr>
        <w:t>%</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全年安排因公出国（境）团组</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次，出国（境）</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人。</w:t>
      </w:r>
      <w:r>
        <w:rPr>
          <w:rFonts w:hint="eastAsia" w:ascii="仿宋_GB2312"/>
          <w:color w:val="000000"/>
          <w:szCs w:val="32"/>
        </w:rPr>
        <w:t>因公出国（境）支出决算</w:t>
      </w:r>
      <w:r>
        <w:rPr>
          <w:rFonts w:hint="eastAsia" w:ascii="仿宋_GB2312"/>
          <w:color w:val="000000"/>
          <w:szCs w:val="32"/>
          <w:lang w:eastAsia="zh-CN"/>
        </w:rPr>
        <w:t>与</w:t>
      </w:r>
      <w:r>
        <w:rPr>
          <w:rFonts w:ascii="仿宋_GB2312"/>
          <w:color w:val="000000"/>
          <w:szCs w:val="32"/>
        </w:rPr>
        <w:t>20</w:t>
      </w:r>
      <w:r>
        <w:rPr>
          <w:rFonts w:hint="eastAsia" w:ascii="仿宋_GB2312"/>
          <w:color w:val="000000"/>
          <w:szCs w:val="32"/>
        </w:rPr>
        <w:t>20年</w:t>
      </w:r>
      <w:r>
        <w:rPr>
          <w:rFonts w:hint="eastAsia" w:ascii="仿宋_GB2312" w:hAnsi="仿宋_GB2312" w:cs="仿宋_GB2312"/>
          <w:b w:val="0"/>
          <w:bCs/>
          <w:color w:val="000000"/>
          <w:sz w:val="32"/>
          <w:szCs w:val="32"/>
          <w:lang w:val="en-US" w:eastAsia="zh-CN"/>
        </w:rPr>
        <w:t>持平。</w:t>
      </w:r>
    </w:p>
    <w:p>
      <w:pPr>
        <w:spacing w:line="560" w:lineRule="exact"/>
        <w:ind w:firstLine="640"/>
        <w:rPr>
          <w:rFonts w:hint="eastAsia" w:ascii="仿宋_GB2312" w:hAnsi="仿宋_GB2312" w:eastAsia="仿宋_GB2312" w:cs="仿宋_GB2312"/>
          <w:b w:val="0"/>
          <w:bCs/>
          <w:color w:val="000000"/>
        </w:rPr>
      </w:pPr>
      <w:r>
        <w:rPr>
          <w:rFonts w:hint="eastAsia" w:ascii="仿宋_GB2312" w:hAnsi="仿宋_GB2312" w:eastAsia="仿宋_GB2312" w:cs="仿宋_GB2312"/>
          <w:b/>
          <w:bCs w:val="0"/>
          <w:color w:val="000000"/>
          <w:sz w:val="32"/>
          <w:szCs w:val="32"/>
        </w:rPr>
        <w:t>2.公务用车购置及运行维护费支出</w:t>
      </w:r>
      <w:r>
        <w:rPr>
          <w:rFonts w:hint="eastAsia" w:ascii="仿宋_GB2312" w:hAnsi="仿宋_GB2312" w:cs="仿宋_GB2312"/>
          <w:b w:val="0"/>
          <w:bCs/>
          <w:color w:val="000000"/>
          <w:sz w:val="32"/>
          <w:szCs w:val="32"/>
          <w:lang w:val="en-US" w:eastAsia="zh-CN"/>
        </w:rPr>
        <w:t>3.35</w:t>
      </w:r>
      <w:r>
        <w:rPr>
          <w:rFonts w:hint="eastAsia" w:ascii="仿宋_GB2312" w:hAnsi="仿宋_GB2312" w:eastAsia="仿宋_GB2312" w:cs="仿宋_GB2312"/>
          <w:b w:val="0"/>
          <w:bCs/>
          <w:color w:val="000000"/>
          <w:sz w:val="32"/>
          <w:szCs w:val="32"/>
        </w:rPr>
        <w:t>万元,</w:t>
      </w:r>
      <w:r>
        <w:rPr>
          <w:rStyle w:val="14"/>
          <w:rFonts w:hint="eastAsia" w:ascii="仿宋_GB2312" w:hAnsi="仿宋_GB2312" w:eastAsia="仿宋_GB2312" w:cs="仿宋_GB2312"/>
          <w:b/>
          <w:bCs w:val="0"/>
          <w:color w:val="000000"/>
          <w:sz w:val="32"/>
          <w:szCs w:val="32"/>
        </w:rPr>
        <w:t>完成预算</w:t>
      </w:r>
      <w:r>
        <w:rPr>
          <w:rStyle w:val="14"/>
          <w:rFonts w:hint="eastAsia" w:ascii="仿宋_GB2312" w:hAnsi="仿宋_GB2312" w:cs="仿宋_GB2312"/>
          <w:b w:val="0"/>
          <w:bCs/>
          <w:color w:val="000000"/>
          <w:sz w:val="32"/>
          <w:szCs w:val="32"/>
          <w:lang w:val="en-US" w:eastAsia="zh-CN"/>
        </w:rPr>
        <w:t>87</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公务用车购置及运行维护费支出决算比</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年</w:t>
      </w:r>
      <w:r>
        <w:rPr>
          <w:rFonts w:hint="eastAsia" w:ascii="仿宋_GB2312" w:hAnsi="仿宋_GB2312" w:cs="仿宋_GB2312"/>
          <w:b w:val="0"/>
          <w:bCs/>
          <w:color w:val="000000"/>
          <w:sz w:val="32"/>
          <w:szCs w:val="32"/>
          <w:lang w:eastAsia="zh-CN"/>
        </w:rPr>
        <w:t>增加</w:t>
      </w:r>
      <w:r>
        <w:rPr>
          <w:rFonts w:hint="eastAsia" w:ascii="仿宋_GB2312" w:hAnsi="仿宋_GB2312" w:cs="仿宋_GB2312"/>
          <w:b w:val="0"/>
          <w:bCs/>
          <w:color w:val="000000"/>
          <w:sz w:val="32"/>
          <w:szCs w:val="32"/>
          <w:lang w:val="en-US" w:eastAsia="zh-CN"/>
        </w:rPr>
        <w:t>0.6</w:t>
      </w:r>
      <w:r>
        <w:rPr>
          <w:rFonts w:hint="eastAsia" w:ascii="仿宋_GB2312" w:hAnsi="仿宋_GB2312" w:eastAsia="仿宋_GB2312" w:cs="仿宋_GB2312"/>
          <w:b w:val="0"/>
          <w:bCs/>
          <w:color w:val="000000"/>
          <w:sz w:val="32"/>
          <w:szCs w:val="32"/>
        </w:rPr>
        <w:t>万元，</w:t>
      </w:r>
      <w:r>
        <w:rPr>
          <w:rFonts w:hint="eastAsia" w:ascii="仿宋_GB2312" w:hAnsi="仿宋_GB2312" w:cs="仿宋_GB2312"/>
          <w:b w:val="0"/>
          <w:bCs/>
          <w:color w:val="000000"/>
          <w:sz w:val="32"/>
          <w:szCs w:val="32"/>
          <w:lang w:eastAsia="zh-CN"/>
        </w:rPr>
        <w:t>增长</w:t>
      </w:r>
      <w:r>
        <w:rPr>
          <w:rFonts w:hint="eastAsia" w:ascii="仿宋_GB2312" w:hAnsi="仿宋_GB2312" w:cs="仿宋_GB2312"/>
          <w:b w:val="0"/>
          <w:bCs/>
          <w:color w:val="000000"/>
          <w:sz w:val="32"/>
          <w:szCs w:val="32"/>
          <w:lang w:val="en-US" w:eastAsia="zh-CN"/>
        </w:rPr>
        <w:t>21.82</w:t>
      </w:r>
      <w:r>
        <w:rPr>
          <w:rFonts w:hint="eastAsia" w:ascii="仿宋_GB2312" w:hAnsi="仿宋_GB2312" w:eastAsia="仿宋_GB2312" w:cs="仿宋_GB2312"/>
          <w:b w:val="0"/>
          <w:bCs/>
          <w:color w:val="000000"/>
          <w:sz w:val="32"/>
          <w:szCs w:val="32"/>
        </w:rPr>
        <w:t>%。主要原因是</w:t>
      </w:r>
      <w:r>
        <w:rPr>
          <w:rFonts w:hint="eastAsia" w:ascii="仿宋_GB2312" w:hAnsi="仿宋_GB2312" w:eastAsia="仿宋_GB2312" w:cs="仿宋_GB2312"/>
          <w:b w:val="0"/>
          <w:bCs/>
          <w:color w:val="000000"/>
        </w:rPr>
        <w:t>我单位</w:t>
      </w:r>
      <w:r>
        <w:rPr>
          <w:rFonts w:hint="eastAsia" w:ascii="仿宋_GB2312" w:hAnsi="仿宋_GB2312" w:cs="仿宋_GB2312"/>
          <w:b w:val="0"/>
          <w:bCs/>
          <w:color w:val="000000"/>
          <w:lang w:eastAsia="zh-CN"/>
        </w:rPr>
        <w:t>下乡次数增加，为残疾人提供</w:t>
      </w:r>
      <w:r>
        <w:rPr>
          <w:rFonts w:hint="eastAsia" w:ascii="仿宋_GB2312" w:hAnsi="仿宋_GB2312" w:eastAsia="仿宋_GB2312" w:cs="仿宋_GB2312"/>
          <w:b w:val="0"/>
          <w:bCs/>
        </w:rPr>
        <w:t>辅具配送、残疾人入户调查、残疾人慰问帮扶</w:t>
      </w:r>
      <w:r>
        <w:rPr>
          <w:rFonts w:hint="eastAsia" w:ascii="仿宋_GB2312" w:hAnsi="仿宋_GB2312" w:cs="仿宋_GB2312"/>
          <w:b w:val="0"/>
          <w:bCs/>
          <w:color w:val="000000"/>
          <w:lang w:eastAsia="zh-CN"/>
        </w:rPr>
        <w:t>等</w:t>
      </w:r>
      <w:r>
        <w:rPr>
          <w:rFonts w:hint="eastAsia" w:ascii="仿宋_GB2312" w:hAnsi="仿宋_GB2312" w:eastAsia="仿宋_GB2312" w:cs="仿宋_GB2312"/>
          <w:b w:val="0"/>
          <w:bCs/>
          <w:color w:val="000000"/>
        </w:rPr>
        <w:t>。</w:t>
      </w:r>
    </w:p>
    <w:p>
      <w:pPr>
        <w:spacing w:line="600" w:lineRule="exact"/>
        <w:ind w:firstLine="640" w:firstLineChars="200"/>
        <w:rPr>
          <w:rFonts w:ascii="仿宋_GB2312"/>
          <w:b/>
          <w:color w:val="000000"/>
          <w:szCs w:val="32"/>
        </w:rPr>
      </w:pPr>
      <w:r>
        <w:rPr>
          <w:rFonts w:hint="eastAsia" w:ascii="仿宋_GB2312" w:hAnsi="仿宋_GB2312" w:eastAsia="仿宋_GB2312" w:cs="仿宋_GB2312"/>
          <w:b w:val="0"/>
          <w:bCs/>
          <w:color w:val="000000"/>
          <w:sz w:val="32"/>
          <w:szCs w:val="32"/>
        </w:rPr>
        <w:t>其中：</w:t>
      </w:r>
      <w:r>
        <w:rPr>
          <w:rFonts w:hint="eastAsia" w:ascii="仿宋_GB2312" w:hAnsi="仿宋_GB2312" w:eastAsia="仿宋_GB2312" w:cs="仿宋_GB2312"/>
          <w:b/>
          <w:bCs w:val="0"/>
          <w:color w:val="000000"/>
          <w:sz w:val="32"/>
          <w:szCs w:val="32"/>
        </w:rPr>
        <w:t>公务用车购置支出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Fonts w:hint="eastAsia" w:ascii="仿宋_GB2312"/>
          <w:color w:val="000000"/>
          <w:szCs w:val="32"/>
        </w:rPr>
        <w:t>。全年按规定更新购置公务用车</w:t>
      </w:r>
      <w:r>
        <w:rPr>
          <w:rFonts w:hint="eastAsia" w:ascii="仿宋_GB2312"/>
          <w:color w:val="000000"/>
          <w:szCs w:val="32"/>
          <w:lang w:val="en-US" w:eastAsia="zh-CN"/>
        </w:rPr>
        <w:t>0</w:t>
      </w:r>
      <w:r>
        <w:rPr>
          <w:rFonts w:hint="eastAsia" w:ascii="仿宋_GB2312"/>
          <w:color w:val="000000"/>
          <w:szCs w:val="32"/>
        </w:rPr>
        <w:t>辆，其中：轿车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万元，越野车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万元，载客汽车</w:t>
      </w:r>
      <w:r>
        <w:rPr>
          <w:rFonts w:hint="eastAsia" w:ascii="仿宋_GB2312"/>
          <w:color w:val="000000"/>
          <w:szCs w:val="32"/>
          <w:lang w:val="en-US" w:eastAsia="zh-CN"/>
        </w:rPr>
        <w:t>0</w:t>
      </w:r>
      <w:r>
        <w:rPr>
          <w:rFonts w:hint="eastAsia" w:ascii="仿宋_GB2312"/>
          <w:color w:val="000000"/>
          <w:szCs w:val="32"/>
        </w:rPr>
        <w:t>辆、金额</w:t>
      </w:r>
      <w:r>
        <w:rPr>
          <w:rFonts w:hint="eastAsia" w:ascii="仿宋_GB2312"/>
          <w:color w:val="000000"/>
          <w:szCs w:val="32"/>
          <w:lang w:val="en-US" w:eastAsia="zh-CN"/>
        </w:rPr>
        <w:t>0</w:t>
      </w:r>
      <w:r>
        <w:rPr>
          <w:rFonts w:hint="eastAsia" w:ascii="仿宋_GB2312"/>
          <w:color w:val="000000"/>
          <w:szCs w:val="32"/>
        </w:rPr>
        <w:t>万元。截至</w:t>
      </w:r>
      <w:r>
        <w:rPr>
          <w:rFonts w:ascii="仿宋_GB2312"/>
          <w:color w:val="000000"/>
          <w:szCs w:val="32"/>
        </w:rPr>
        <w:t>202</w:t>
      </w:r>
      <w:r>
        <w:rPr>
          <w:rFonts w:hint="eastAsia" w:ascii="仿宋_GB2312"/>
          <w:color w:val="000000"/>
          <w:szCs w:val="32"/>
        </w:rPr>
        <w:t>1年</w:t>
      </w:r>
      <w:r>
        <w:rPr>
          <w:rFonts w:ascii="仿宋_GB2312"/>
          <w:color w:val="000000"/>
          <w:szCs w:val="32"/>
        </w:rPr>
        <w:t>12</w:t>
      </w:r>
      <w:r>
        <w:rPr>
          <w:rFonts w:hint="eastAsia" w:ascii="仿宋_GB2312"/>
          <w:color w:val="000000"/>
          <w:szCs w:val="32"/>
        </w:rPr>
        <w:t>月底，单位共有公务用车</w:t>
      </w:r>
      <w:r>
        <w:rPr>
          <w:rFonts w:hint="eastAsia" w:ascii="仿宋_GB2312"/>
          <w:color w:val="000000"/>
          <w:szCs w:val="32"/>
          <w:lang w:val="en-US" w:eastAsia="zh-CN"/>
        </w:rPr>
        <w:t>1</w:t>
      </w:r>
      <w:r>
        <w:rPr>
          <w:rFonts w:hint="eastAsia" w:ascii="仿宋_GB2312"/>
          <w:color w:val="000000"/>
          <w:szCs w:val="32"/>
        </w:rPr>
        <w:t>辆，其中：轿车</w:t>
      </w:r>
      <w:r>
        <w:rPr>
          <w:rFonts w:hint="eastAsia" w:ascii="仿宋_GB2312"/>
          <w:color w:val="000000"/>
          <w:szCs w:val="32"/>
          <w:lang w:val="en-US" w:eastAsia="zh-CN"/>
        </w:rPr>
        <w:t>0</w:t>
      </w:r>
      <w:r>
        <w:rPr>
          <w:rFonts w:hint="eastAsia" w:ascii="仿宋_GB2312"/>
          <w:color w:val="000000"/>
          <w:szCs w:val="32"/>
        </w:rPr>
        <w:t>辆、越野车</w:t>
      </w:r>
      <w:r>
        <w:rPr>
          <w:rFonts w:hint="eastAsia" w:ascii="仿宋_GB2312"/>
          <w:color w:val="000000"/>
          <w:szCs w:val="32"/>
          <w:lang w:val="en-US" w:eastAsia="zh-CN"/>
        </w:rPr>
        <w:t>0</w:t>
      </w:r>
      <w:r>
        <w:rPr>
          <w:rFonts w:hint="eastAsia" w:ascii="仿宋_GB2312"/>
          <w:color w:val="000000"/>
          <w:szCs w:val="32"/>
        </w:rPr>
        <w:t>辆、</w:t>
      </w:r>
      <w:r>
        <w:rPr>
          <w:rFonts w:hint="eastAsia" w:ascii="仿宋_GB2312" w:hAnsi="仿宋_GB2312" w:eastAsia="仿宋_GB2312" w:cs="仿宋_GB2312"/>
          <w:b w:val="0"/>
          <w:bCs/>
          <w:color w:val="000000"/>
          <w:sz w:val="32"/>
          <w:szCs w:val="32"/>
        </w:rPr>
        <w:t>汽车</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辆</w:t>
      </w:r>
      <w:r>
        <w:rPr>
          <w:rFonts w:hint="eastAsia" w:ascii="仿宋_GB2312" w:hAnsi="仿宋_GB2312" w:eastAsia="仿宋_GB2312" w:cs="仿宋_GB2312"/>
          <w:b w:val="0"/>
          <w:bCs/>
          <w:color w:val="000000"/>
        </w:rPr>
        <w:t>（残疾人辅具配送车）</w:t>
      </w:r>
      <w:r>
        <w:rPr>
          <w:rFonts w:hint="eastAsia" w:ascii="仿宋_GB2312" w:hAnsi="仿宋_GB2312" w:eastAsia="仿宋_GB2312" w:cs="仿宋_GB2312"/>
          <w:b w:val="0"/>
          <w:bCs/>
          <w:color w:val="000000"/>
          <w:lang w:eastAsia="zh-CN"/>
        </w:rPr>
        <w:t>。</w:t>
      </w:r>
    </w:p>
    <w:p>
      <w:pPr>
        <w:spacing w:line="600" w:lineRule="exact"/>
        <w:ind w:firstLine="640"/>
        <w:rPr>
          <w:rFonts w:hint="eastAsia" w:ascii="仿宋_GB2312" w:hAnsi="仿宋_GB2312" w:eastAsia="仿宋_GB2312" w:cs="仿宋_GB2312"/>
          <w:b w:val="0"/>
          <w:bCs/>
          <w:color w:val="000000"/>
        </w:rPr>
      </w:pPr>
      <w:r>
        <w:rPr>
          <w:rFonts w:hint="eastAsia" w:ascii="仿宋_GB2312" w:hAnsi="仿宋_GB2312" w:eastAsia="仿宋_GB2312" w:cs="仿宋_GB2312"/>
          <w:b/>
          <w:bCs w:val="0"/>
          <w:color w:val="000000"/>
          <w:sz w:val="32"/>
          <w:szCs w:val="32"/>
        </w:rPr>
        <w:t>公务用车运行维护费支出</w:t>
      </w:r>
      <w:r>
        <w:rPr>
          <w:rFonts w:hint="eastAsia" w:ascii="仿宋_GB2312" w:hAnsi="仿宋_GB2312" w:cs="仿宋_GB2312"/>
          <w:b w:val="0"/>
          <w:bCs/>
          <w:color w:val="000000"/>
          <w:sz w:val="32"/>
          <w:szCs w:val="32"/>
          <w:lang w:val="en-US" w:eastAsia="zh-CN"/>
        </w:rPr>
        <w:t>3.35</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val="0"/>
          <w:bCs/>
        </w:rPr>
        <w:t>主要用于市残联机关及下属事业单位开展残疾人事业工作、残疾人辅具配送、残疾人入户调查、残疾人慰问帮扶</w:t>
      </w:r>
      <w:r>
        <w:rPr>
          <w:rFonts w:hint="eastAsia" w:ascii="仿宋_GB2312" w:hAnsi="仿宋_GB2312" w:eastAsia="仿宋_GB2312" w:cs="仿宋_GB2312"/>
          <w:b w:val="0"/>
          <w:bCs/>
          <w:color w:val="000000"/>
        </w:rPr>
        <w:t>等所需的公务用车燃料费、维修费、过路过桥费、保险费等支出。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firstLine="640" w:firstLineChars="200"/>
        <w:jc w:val="both"/>
        <w:textAlignment w:val="baseline"/>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r>
        <w:rPr>
          <w:rFonts w:hint="eastAsia" w:ascii="仿宋_GB2312" w:hAnsi="仿宋_GB2312" w:eastAsia="仿宋_GB2312" w:cs="仿宋_GB2312"/>
          <w:b/>
          <w:bCs w:val="0"/>
          <w:color w:val="000000"/>
          <w:sz w:val="32"/>
          <w:szCs w:val="32"/>
        </w:rPr>
        <w:t>公务接待费支出</w:t>
      </w:r>
      <w:r>
        <w:rPr>
          <w:rFonts w:hint="eastAsia" w:ascii="仿宋_GB2312" w:hAnsi="仿宋_GB2312" w:cs="仿宋_GB2312"/>
          <w:b w:val="0"/>
          <w:bCs/>
          <w:color w:val="000000"/>
          <w:sz w:val="32"/>
          <w:szCs w:val="32"/>
          <w:lang w:val="en-US" w:eastAsia="zh-CN"/>
        </w:rPr>
        <w:t>0.5</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bCs w:val="0"/>
          <w:color w:val="000000"/>
        </w:rPr>
        <w:t>完成预算</w:t>
      </w:r>
      <w:r>
        <w:rPr>
          <w:rFonts w:hint="eastAsia" w:ascii="仿宋_GB2312" w:hAnsi="仿宋_GB2312" w:cs="仿宋_GB2312"/>
          <w:b w:val="0"/>
          <w:bCs/>
          <w:color w:val="000000"/>
          <w:lang w:val="en-US" w:eastAsia="zh-CN"/>
        </w:rPr>
        <w:t>53.19</w:t>
      </w:r>
      <w:r>
        <w:rPr>
          <w:rFonts w:hint="eastAsia" w:ascii="仿宋_GB2312" w:hAnsi="仿宋_GB2312" w:eastAsia="仿宋_GB2312" w:cs="仿宋_GB2312"/>
          <w:b w:val="0"/>
          <w:bCs/>
          <w:color w:val="000000"/>
        </w:rPr>
        <w:t>%</w:t>
      </w:r>
      <w:r>
        <w:rPr>
          <w:rStyle w:val="14"/>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公务接待费支出决算比2</w:t>
      </w:r>
      <w:r>
        <w:rPr>
          <w:rFonts w:hint="eastAsia" w:ascii="仿宋_GB2312" w:hAnsi="仿宋_GB2312" w:cs="仿宋_GB2312"/>
          <w:b w:val="0"/>
          <w:bCs/>
          <w:color w:val="000000"/>
          <w:sz w:val="32"/>
          <w:szCs w:val="32"/>
          <w:lang w:val="en-US" w:eastAsia="zh-CN"/>
        </w:rPr>
        <w:t>020</w:t>
      </w:r>
      <w:r>
        <w:rPr>
          <w:rFonts w:hint="eastAsia" w:ascii="仿宋_GB2312" w:hAnsi="仿宋_GB2312" w:eastAsia="仿宋_GB2312" w:cs="仿宋_GB2312"/>
          <w:b w:val="0"/>
          <w:bCs/>
          <w:color w:val="000000"/>
          <w:sz w:val="32"/>
          <w:szCs w:val="32"/>
        </w:rPr>
        <w:t>年</w:t>
      </w:r>
      <w:r>
        <w:rPr>
          <w:rFonts w:hint="eastAsia" w:ascii="仿宋_GB2312" w:hAnsi="仿宋_GB2312" w:cs="仿宋_GB2312"/>
          <w:b w:val="0"/>
          <w:bCs/>
          <w:color w:val="000000"/>
          <w:sz w:val="32"/>
          <w:szCs w:val="32"/>
          <w:lang w:eastAsia="zh-CN"/>
        </w:rPr>
        <w:t>减少</w:t>
      </w:r>
      <w:r>
        <w:rPr>
          <w:rFonts w:hint="eastAsia" w:ascii="仿宋_GB2312" w:hAnsi="仿宋_GB2312" w:cs="仿宋_GB2312"/>
          <w:b w:val="0"/>
          <w:bCs/>
          <w:color w:val="000000"/>
          <w:sz w:val="32"/>
          <w:szCs w:val="32"/>
          <w:lang w:val="en-US" w:eastAsia="zh-CN"/>
        </w:rPr>
        <w:t>0.2</w:t>
      </w:r>
      <w:r>
        <w:rPr>
          <w:rFonts w:hint="eastAsia" w:ascii="仿宋_GB2312" w:hAnsi="仿宋_GB2312" w:eastAsia="仿宋_GB2312" w:cs="仿宋_GB2312"/>
          <w:b w:val="0"/>
          <w:bCs/>
          <w:color w:val="000000"/>
          <w:sz w:val="32"/>
          <w:szCs w:val="32"/>
        </w:rPr>
        <w:t>万元，</w:t>
      </w:r>
      <w:r>
        <w:rPr>
          <w:rFonts w:hint="eastAsia" w:ascii="仿宋_GB2312" w:hAnsi="仿宋_GB2312" w:cs="仿宋_GB2312"/>
          <w:b w:val="0"/>
          <w:bCs/>
          <w:color w:val="000000"/>
          <w:sz w:val="32"/>
          <w:szCs w:val="32"/>
          <w:lang w:eastAsia="zh-CN"/>
        </w:rPr>
        <w:t>下降</w:t>
      </w:r>
      <w:r>
        <w:rPr>
          <w:rFonts w:hint="eastAsia" w:ascii="仿宋_GB2312" w:hAnsi="仿宋_GB2312" w:cs="仿宋_GB2312"/>
          <w:b w:val="0"/>
          <w:bCs/>
          <w:color w:val="000000"/>
          <w:sz w:val="32"/>
          <w:szCs w:val="32"/>
          <w:lang w:val="en-US" w:eastAsia="zh-CN"/>
        </w:rPr>
        <w:t>28.57</w:t>
      </w:r>
      <w:r>
        <w:rPr>
          <w:rFonts w:hint="eastAsia" w:ascii="仿宋_GB2312" w:hAnsi="仿宋_GB2312" w:eastAsia="仿宋_GB2312" w:cs="仿宋_GB2312"/>
          <w:b w:val="0"/>
          <w:bCs/>
          <w:color w:val="000000"/>
          <w:sz w:val="32"/>
          <w:szCs w:val="32"/>
        </w:rPr>
        <w:t>%。主要原因是</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继续贯彻落实中央八项规定及</w:t>
      </w:r>
      <w:r>
        <w:rPr>
          <w:rStyle w:val="15"/>
          <w:rFonts w:hint="eastAsia" w:ascii="Times New Roman" w:hAnsi="Times New Roman" w:cs="Times New Roman"/>
          <w:b w:val="0"/>
          <w:bCs/>
          <w:i w:val="0"/>
          <w:caps w:val="0"/>
          <w:color w:val="000000"/>
          <w:spacing w:val="0"/>
          <w:w w:val="100"/>
          <w:kern w:val="2"/>
          <w:sz w:val="32"/>
          <w:szCs w:val="24"/>
          <w:lang w:val="en-US" w:eastAsia="zh-CN" w:bidi="ar-SA"/>
        </w:rPr>
        <w:t>省委省政府和</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市委市政府</w:t>
      </w:r>
      <w:r>
        <w:rPr>
          <w:rStyle w:val="15"/>
          <w:rFonts w:hint="eastAsia" w:ascii="Times New Roman" w:hAnsi="Times New Roman" w:cs="Times New Roman"/>
          <w:b w:val="0"/>
          <w:bCs/>
          <w:i w:val="0"/>
          <w:caps w:val="0"/>
          <w:color w:val="000000"/>
          <w:spacing w:val="0"/>
          <w:w w:val="100"/>
          <w:kern w:val="2"/>
          <w:sz w:val="32"/>
          <w:szCs w:val="24"/>
          <w:lang w:val="en-US" w:eastAsia="zh-CN" w:bidi="ar-SA"/>
        </w:rPr>
        <w:t>系列</w:t>
      </w:r>
      <w:r>
        <w:rPr>
          <w:rStyle w:val="15"/>
          <w:rFonts w:hint="default" w:ascii="Times New Roman" w:hAnsi="Times New Roman" w:eastAsia="仿宋_GB2312" w:cs="Times New Roman"/>
          <w:b w:val="0"/>
          <w:bCs/>
          <w:i w:val="0"/>
          <w:caps w:val="0"/>
          <w:color w:val="000000"/>
          <w:spacing w:val="0"/>
          <w:w w:val="100"/>
          <w:kern w:val="2"/>
          <w:sz w:val="32"/>
          <w:szCs w:val="24"/>
          <w:lang w:val="en-US" w:eastAsia="zh-CN" w:bidi="ar-SA"/>
        </w:rPr>
        <w:t>规定，厉行节约。</w:t>
      </w:r>
      <w:r>
        <w:rPr>
          <w:rFonts w:hint="eastAsia" w:ascii="仿宋_GB2312" w:hAnsi="仿宋_GB2312" w:eastAsia="仿宋_GB2312" w:cs="仿宋_GB2312"/>
          <w:b w:val="0"/>
          <w:bCs/>
          <w:color w:val="000000"/>
          <w:sz w:val="32"/>
          <w:szCs w:val="32"/>
        </w:rPr>
        <w:t>其中：</w:t>
      </w:r>
    </w:p>
    <w:p>
      <w:pPr>
        <w:spacing w:line="600" w:lineRule="exact"/>
        <w:ind w:firstLine="64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rPr>
        <w:t>国内公务接待支出</w:t>
      </w:r>
      <w:r>
        <w:rPr>
          <w:rFonts w:hint="eastAsia" w:ascii="仿宋_GB2312" w:hAnsi="仿宋_GB2312" w:cs="仿宋_GB2312"/>
          <w:b w:val="0"/>
          <w:bCs/>
          <w:color w:val="000000"/>
          <w:sz w:val="32"/>
          <w:szCs w:val="32"/>
          <w:lang w:val="en-US" w:eastAsia="zh-CN"/>
        </w:rPr>
        <w:t>0.5</w:t>
      </w:r>
      <w:r>
        <w:rPr>
          <w:rFonts w:hint="eastAsia" w:ascii="仿宋_GB2312" w:hAnsi="仿宋_GB2312" w:eastAsia="仿宋_GB2312" w:cs="仿宋_GB2312"/>
          <w:b w:val="0"/>
          <w:bCs/>
          <w:color w:val="000000"/>
          <w:sz w:val="32"/>
          <w:szCs w:val="32"/>
        </w:rPr>
        <w:t>万元，主要用于执行公务、开展业务活动开支的交通费、住宿费、用餐费等。国内公务接待</w:t>
      </w:r>
      <w:r>
        <w:rPr>
          <w:rFonts w:hint="eastAsia" w:ascii="仿宋_GB2312" w:hAnsi="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批次，</w:t>
      </w:r>
      <w:r>
        <w:rPr>
          <w:rFonts w:hint="eastAsia" w:ascii="仿宋_GB2312" w:hAnsi="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人次（不包括陪同人员），共计支出</w:t>
      </w:r>
      <w:r>
        <w:rPr>
          <w:rFonts w:hint="eastAsia" w:ascii="仿宋_GB2312" w:hAnsi="仿宋_GB2312" w:cs="仿宋_GB2312"/>
          <w:b w:val="0"/>
          <w:bCs/>
          <w:color w:val="000000"/>
          <w:sz w:val="32"/>
          <w:szCs w:val="32"/>
          <w:lang w:val="en-US" w:eastAsia="zh-CN"/>
        </w:rPr>
        <w:t>0.5</w:t>
      </w:r>
      <w:r>
        <w:rPr>
          <w:rFonts w:hint="eastAsia" w:ascii="仿宋_GB2312" w:hAnsi="仿宋_GB2312" w:eastAsia="仿宋_GB2312" w:cs="仿宋_GB2312"/>
          <w:b w:val="0"/>
          <w:bCs/>
          <w:color w:val="000000"/>
          <w:sz w:val="32"/>
          <w:szCs w:val="32"/>
        </w:rPr>
        <w:t>万元，具体内容包括：</w:t>
      </w:r>
      <w:r>
        <w:rPr>
          <w:rFonts w:hint="eastAsia" w:ascii="仿宋_GB2312" w:hAnsi="仿宋_GB2312" w:cs="仿宋_GB2312"/>
          <w:b/>
          <w:bCs w:val="0"/>
          <w:color w:val="000000"/>
          <w:sz w:val="32"/>
          <w:szCs w:val="32"/>
          <w:lang w:val="en-US" w:eastAsia="zh-CN"/>
        </w:rPr>
        <w:t>一是</w:t>
      </w:r>
      <w:r>
        <w:rPr>
          <w:rFonts w:hint="eastAsia" w:ascii="仿宋_GB2312" w:hAnsi="仿宋_GB2312" w:cs="仿宋_GB2312"/>
          <w:b w:val="0"/>
          <w:bCs/>
          <w:color w:val="000000"/>
          <w:sz w:val="32"/>
          <w:szCs w:val="32"/>
          <w:lang w:val="en-US" w:eastAsia="zh-CN"/>
        </w:rPr>
        <w:t>接待</w:t>
      </w:r>
      <w:r>
        <w:rPr>
          <w:rFonts w:hint="eastAsia" w:ascii="仿宋_GB2312" w:hAnsi="仿宋_GB2312" w:eastAsia="仿宋_GB2312" w:cs="仿宋_GB2312"/>
          <w:b w:val="0"/>
          <w:bCs/>
          <w:color w:val="000000"/>
          <w:sz w:val="32"/>
          <w:szCs w:val="32"/>
          <w:lang w:val="en-US" w:eastAsia="zh-CN"/>
        </w:rPr>
        <w:t>省残联</w:t>
      </w:r>
      <w:r>
        <w:rPr>
          <w:rFonts w:hint="eastAsia" w:ascii="仿宋_GB2312" w:hAnsi="仿宋_GB2312" w:cs="仿宋_GB2312"/>
          <w:b w:val="0"/>
          <w:bCs/>
          <w:color w:val="000000"/>
          <w:sz w:val="32"/>
          <w:szCs w:val="32"/>
          <w:lang w:val="en-US" w:eastAsia="zh-CN"/>
        </w:rPr>
        <w:t>维权处一行到富顺调研信访积案化解工作及其他维权业务工作</w:t>
      </w:r>
      <w:r>
        <w:rPr>
          <w:rFonts w:hint="eastAsia" w:ascii="仿宋_GB2312" w:hAnsi="仿宋_GB2312" w:eastAsia="仿宋_GB2312" w:cs="仿宋_GB2312"/>
          <w:b w:val="0"/>
          <w:bCs/>
          <w:color w:val="000000"/>
          <w:sz w:val="32"/>
          <w:szCs w:val="32"/>
          <w:lang w:val="en-US" w:eastAsia="zh-CN"/>
        </w:rPr>
        <w:t>接待费</w:t>
      </w:r>
      <w:r>
        <w:rPr>
          <w:rFonts w:hint="eastAsia" w:ascii="仿宋_GB2312" w:hAnsi="仿宋_GB2312" w:cs="仿宋_GB2312"/>
          <w:b w:val="0"/>
          <w:bCs/>
          <w:color w:val="000000"/>
          <w:sz w:val="32"/>
          <w:szCs w:val="32"/>
          <w:lang w:val="en-US" w:eastAsia="zh-CN"/>
        </w:rPr>
        <w:t>488</w:t>
      </w:r>
      <w:r>
        <w:rPr>
          <w:rFonts w:hint="eastAsia" w:ascii="仿宋_GB2312" w:hAnsi="仿宋_GB2312" w:eastAsia="仿宋_GB2312" w:cs="仿宋_GB2312"/>
          <w:b w:val="0"/>
          <w:bCs/>
          <w:color w:val="000000"/>
          <w:sz w:val="32"/>
          <w:szCs w:val="32"/>
          <w:lang w:val="en-US" w:eastAsia="zh-CN"/>
        </w:rPr>
        <w:t>元；</w:t>
      </w:r>
      <w:r>
        <w:rPr>
          <w:rFonts w:hint="eastAsia" w:ascii="仿宋_GB2312" w:hAnsi="仿宋_GB2312" w:cs="仿宋_GB2312"/>
          <w:b/>
          <w:bCs w:val="0"/>
          <w:color w:val="000000"/>
          <w:sz w:val="32"/>
          <w:szCs w:val="32"/>
          <w:lang w:val="en-US" w:eastAsia="zh-CN"/>
        </w:rPr>
        <w:t>二是</w:t>
      </w:r>
      <w:r>
        <w:rPr>
          <w:rFonts w:hint="eastAsia" w:ascii="仿宋_GB2312" w:hAnsi="仿宋_GB2312" w:cs="仿宋_GB2312"/>
          <w:b w:val="0"/>
          <w:bCs/>
          <w:color w:val="000000"/>
          <w:sz w:val="32"/>
          <w:szCs w:val="32"/>
          <w:lang w:val="en-US" w:eastAsia="zh-CN"/>
        </w:rPr>
        <w:t>接待四川杨康残疾人康复技术培训指导中心到自贡开展残疾儿童康复救助定点机构服务评估费用548</w:t>
      </w:r>
      <w:r>
        <w:rPr>
          <w:rFonts w:hint="eastAsia" w:ascii="仿宋_GB2312" w:hAnsi="仿宋_GB2312" w:eastAsia="仿宋_GB2312" w:cs="仿宋_GB2312"/>
          <w:b w:val="0"/>
          <w:bCs/>
          <w:color w:val="000000"/>
          <w:sz w:val="32"/>
          <w:szCs w:val="32"/>
          <w:lang w:val="en-US" w:eastAsia="zh-CN"/>
        </w:rPr>
        <w:t>元；</w:t>
      </w:r>
      <w:r>
        <w:rPr>
          <w:rFonts w:hint="eastAsia" w:ascii="仿宋_GB2312" w:hAnsi="仿宋_GB2312" w:cs="仿宋_GB2312"/>
          <w:b/>
          <w:bCs w:val="0"/>
          <w:color w:val="000000"/>
          <w:sz w:val="32"/>
          <w:szCs w:val="32"/>
          <w:lang w:val="en-US" w:eastAsia="zh-CN"/>
        </w:rPr>
        <w:t>三是</w:t>
      </w:r>
      <w:r>
        <w:rPr>
          <w:rFonts w:hint="eastAsia" w:ascii="仿宋_GB2312" w:hAnsi="仿宋_GB2312" w:cs="仿宋_GB2312"/>
          <w:b w:val="0"/>
          <w:bCs/>
          <w:color w:val="000000"/>
          <w:sz w:val="32"/>
          <w:szCs w:val="32"/>
          <w:lang w:val="en-US" w:eastAsia="zh-CN"/>
        </w:rPr>
        <w:t>接待省残联指导自贡市第三届残疾人艺术节费用900元</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cs="仿宋_GB2312"/>
          <w:b/>
          <w:bCs w:val="0"/>
          <w:color w:val="000000"/>
          <w:sz w:val="32"/>
          <w:szCs w:val="32"/>
          <w:lang w:val="en-US" w:eastAsia="zh-CN"/>
        </w:rPr>
        <w:t>四是</w:t>
      </w:r>
      <w:r>
        <w:rPr>
          <w:rFonts w:hint="eastAsia" w:ascii="仿宋_GB2312" w:hAnsi="仿宋_GB2312" w:cs="仿宋_GB2312"/>
          <w:b w:val="0"/>
          <w:bCs/>
          <w:color w:val="000000"/>
          <w:sz w:val="32"/>
          <w:szCs w:val="32"/>
          <w:lang w:val="en-US" w:eastAsia="zh-CN"/>
        </w:rPr>
        <w:t>省残联现场抽评定点残疾儿童康复训练机构接待费用990</w:t>
      </w:r>
      <w:r>
        <w:rPr>
          <w:rFonts w:hint="eastAsia" w:ascii="仿宋_GB2312" w:hAnsi="仿宋_GB2312" w:eastAsia="仿宋_GB2312" w:cs="仿宋_GB2312"/>
          <w:b w:val="0"/>
          <w:bCs/>
          <w:color w:val="000000"/>
          <w:sz w:val="32"/>
          <w:szCs w:val="32"/>
          <w:lang w:val="en-US" w:eastAsia="zh-CN"/>
        </w:rPr>
        <w:t>元；</w:t>
      </w:r>
      <w:r>
        <w:rPr>
          <w:rFonts w:hint="eastAsia" w:ascii="仿宋_GB2312" w:hAnsi="仿宋_GB2312" w:cs="仿宋_GB2312"/>
          <w:b/>
          <w:bCs w:val="0"/>
          <w:color w:val="000000"/>
          <w:sz w:val="32"/>
          <w:szCs w:val="32"/>
          <w:lang w:val="en-US" w:eastAsia="zh-CN"/>
        </w:rPr>
        <w:t>五是</w:t>
      </w:r>
      <w:r>
        <w:rPr>
          <w:rFonts w:hint="eastAsia" w:ascii="仿宋_GB2312" w:hAnsi="仿宋_GB2312" w:cs="仿宋_GB2312"/>
          <w:b w:val="0"/>
          <w:bCs/>
          <w:color w:val="000000"/>
          <w:sz w:val="32"/>
          <w:szCs w:val="32"/>
          <w:lang w:val="en-US" w:eastAsia="zh-CN"/>
        </w:rPr>
        <w:t>省残联调研自贡市残疾人工作接待费用1050元</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cs="仿宋_GB2312"/>
          <w:b/>
          <w:bCs w:val="0"/>
          <w:color w:val="000000"/>
          <w:sz w:val="32"/>
          <w:szCs w:val="32"/>
          <w:lang w:val="en-US" w:eastAsia="zh-CN"/>
        </w:rPr>
        <w:t>六是</w:t>
      </w:r>
      <w:r>
        <w:rPr>
          <w:rFonts w:hint="eastAsia" w:ascii="仿宋_GB2312" w:hAnsi="仿宋_GB2312" w:cs="仿宋_GB2312"/>
          <w:b w:val="0"/>
          <w:bCs/>
          <w:color w:val="000000"/>
          <w:sz w:val="32"/>
          <w:szCs w:val="32"/>
          <w:lang w:val="en-US" w:eastAsia="zh-CN"/>
        </w:rPr>
        <w:t>接待省残联指导工作1050</w:t>
      </w:r>
      <w:r>
        <w:rPr>
          <w:rFonts w:hint="eastAsia" w:ascii="仿宋_GB2312" w:hAnsi="仿宋_GB2312" w:eastAsia="仿宋_GB2312" w:cs="仿宋_GB2312"/>
          <w:b w:val="0"/>
          <w:bCs/>
          <w:color w:val="000000"/>
          <w:sz w:val="32"/>
          <w:szCs w:val="32"/>
          <w:lang w:val="en-US" w:eastAsia="zh-CN"/>
        </w:rPr>
        <w:t>元。</w:t>
      </w:r>
    </w:p>
    <w:p>
      <w:pPr>
        <w:spacing w:line="600" w:lineRule="exact"/>
        <w:ind w:firstLine="643"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bCs w:val="0"/>
          <w:color w:val="000000"/>
          <w:sz w:val="32"/>
          <w:szCs w:val="32"/>
        </w:rPr>
        <w:t>外事接待支出</w:t>
      </w:r>
      <w:r>
        <w:rPr>
          <w:rFonts w:hint="eastAsia" w:ascii="仿宋_GB2312" w:hAnsi="仿宋_GB2312" w:eastAsia="仿宋_GB2312" w:cs="仿宋_GB2312"/>
          <w:b/>
          <w:bCs w:val="0"/>
          <w:color w:val="000000"/>
          <w:sz w:val="32"/>
          <w:szCs w:val="32"/>
          <w:lang w:val="en-US" w:eastAsia="zh-CN"/>
        </w:rPr>
        <w:t>0</w:t>
      </w:r>
      <w:r>
        <w:rPr>
          <w:rFonts w:hint="eastAsia" w:ascii="仿宋_GB2312"/>
          <w:color w:val="000000"/>
          <w:szCs w:val="32"/>
        </w:rPr>
        <w:t>万元，外事接待</w:t>
      </w:r>
      <w:r>
        <w:rPr>
          <w:rFonts w:hint="eastAsia" w:ascii="仿宋_GB2312"/>
          <w:color w:val="000000"/>
          <w:szCs w:val="32"/>
          <w:lang w:val="en-US" w:eastAsia="zh-CN"/>
        </w:rPr>
        <w:t>0</w:t>
      </w:r>
      <w:r>
        <w:rPr>
          <w:rFonts w:hint="eastAsia" w:ascii="仿宋_GB2312"/>
          <w:color w:val="000000"/>
          <w:szCs w:val="32"/>
        </w:rPr>
        <w:t>批次，</w:t>
      </w:r>
      <w:r>
        <w:rPr>
          <w:rFonts w:hint="eastAsia" w:ascii="仿宋_GB2312"/>
          <w:color w:val="000000"/>
          <w:szCs w:val="32"/>
          <w:lang w:val="en-US" w:eastAsia="zh-CN"/>
        </w:rPr>
        <w:t>0</w:t>
      </w:r>
      <w:r>
        <w:rPr>
          <w:rFonts w:hint="eastAsia" w:ascii="仿宋_GB2312"/>
          <w:color w:val="000000"/>
          <w:szCs w:val="32"/>
        </w:rPr>
        <w:t>人，共计支出</w:t>
      </w:r>
      <w:r>
        <w:rPr>
          <w:rFonts w:hint="eastAsia" w:ascii="仿宋_GB2312"/>
          <w:color w:val="000000"/>
          <w:szCs w:val="32"/>
          <w:lang w:val="en-US" w:eastAsia="zh-CN"/>
        </w:rPr>
        <w:t>0</w:t>
      </w:r>
      <w:r>
        <w:rPr>
          <w:rFonts w:hint="eastAsia" w:ascii="仿宋_GB2312"/>
          <w:color w:val="000000"/>
          <w:szCs w:val="32"/>
        </w:rPr>
        <w:t>万元</w:t>
      </w:r>
      <w:r>
        <w:rPr>
          <w:rFonts w:hint="eastAsia" w:ascii="仿宋_GB2312"/>
          <w:color w:val="000000"/>
          <w:szCs w:val="32"/>
          <w:lang w:val="en-US" w:eastAsia="zh-CN"/>
        </w:rPr>
        <w:t>0。</w:t>
      </w:r>
    </w:p>
    <w:p>
      <w:pPr>
        <w:spacing w:line="600" w:lineRule="exact"/>
        <w:ind w:firstLine="640"/>
        <w:outlineLvl w:val="1"/>
        <w:rPr>
          <w:rStyle w:val="18"/>
          <w:rFonts w:ascii="黑体" w:hAnsi="黑体" w:eastAsia="黑体"/>
          <w:color w:val="000000" w:themeColor="text1"/>
          <w14:textFill>
            <w14:solidFill>
              <w14:schemeClr w14:val="tx1"/>
            </w14:solidFill>
          </w14:textFill>
        </w:rPr>
      </w:pPr>
      <w:bookmarkStart w:id="43" w:name="_Toc15396610"/>
      <w:bookmarkStart w:id="44" w:name="_Toc15377218"/>
      <w:bookmarkStart w:id="45" w:name="_Toc9843"/>
      <w:r>
        <w:rPr>
          <w:rFonts w:hint="eastAsia" w:ascii="黑体" w:eastAsia="黑体"/>
          <w:color w:val="000000" w:themeColor="text1"/>
          <w:sz w:val="32"/>
          <w:szCs w:val="32"/>
          <w14:textFill>
            <w14:solidFill>
              <w14:schemeClr w14:val="tx1"/>
            </w14:solidFill>
          </w14:textFill>
        </w:rPr>
        <w:t>八、</w:t>
      </w:r>
      <w:r>
        <w:rPr>
          <w:rStyle w:val="18"/>
          <w:rFonts w:hint="eastAsia" w:ascii="黑体" w:hAnsi="黑体" w:eastAsia="黑体"/>
          <w:b w:val="0"/>
          <w:color w:val="000000" w:themeColor="text1"/>
          <w14:textFill>
            <w14:solidFill>
              <w14:schemeClr w14:val="tx1"/>
            </w14:solidFill>
          </w14:textFill>
        </w:rPr>
        <w:t>政府性基金预算支出决算情况说明</w:t>
      </w:r>
      <w:bookmarkEnd w:id="43"/>
      <w:bookmarkEnd w:id="44"/>
      <w:bookmarkEnd w:id="45"/>
    </w:p>
    <w:p>
      <w:pPr>
        <w:spacing w:line="600" w:lineRule="exact"/>
        <w:ind w:firstLine="640"/>
        <w:rPr>
          <w:rFonts w:hint="eastAsia" w:ascii="仿宋_GB2312" w:eastAsia="仿宋_GB2312"/>
          <w:color w:val="FF0000"/>
          <w:sz w:val="32"/>
          <w:szCs w:val="32"/>
          <w:lang w:eastAsia="zh-CN"/>
        </w:rPr>
      </w:pPr>
      <w:r>
        <w:rPr>
          <w:rFonts w:ascii="仿宋_GB2312" w:eastAsia="仿宋_GB2312"/>
          <w:color w:val="000000" w:themeColor="text1"/>
          <w:sz w:val="32"/>
          <w:szCs w:val="32"/>
          <w14:textFill>
            <w14:solidFill>
              <w14:schemeClr w14:val="tx1"/>
            </w14:solidFill>
          </w14:textFill>
        </w:rPr>
        <w:t>202</w:t>
      </w:r>
      <w:r>
        <w:rPr>
          <w:rFonts w:hint="eastAsia" w:ascii="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年政府性基金预算拨款支出</w:t>
      </w:r>
      <w:r>
        <w:rPr>
          <w:rFonts w:hint="eastAsia" w:ascii="仿宋_GB2312"/>
          <w:color w:val="000000" w:themeColor="text1"/>
          <w:sz w:val="32"/>
          <w:szCs w:val="32"/>
          <w:lang w:val="en-US" w:eastAsia="zh-CN"/>
          <w14:textFill>
            <w14:solidFill>
              <w14:schemeClr w14:val="tx1"/>
            </w14:solidFill>
          </w14:textFill>
        </w:rPr>
        <w:t>64.57</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auto"/>
          <w:sz w:val="32"/>
          <w:szCs w:val="32"/>
        </w:rPr>
        <w:t>。</w:t>
      </w:r>
    </w:p>
    <w:p>
      <w:pPr>
        <w:numPr>
          <w:ilvl w:val="0"/>
          <w:numId w:val="4"/>
        </w:numPr>
        <w:spacing w:line="600" w:lineRule="exact"/>
        <w:ind w:firstLine="640"/>
        <w:outlineLvl w:val="1"/>
        <w:rPr>
          <w:rStyle w:val="18"/>
          <w:rFonts w:ascii="黑体" w:hAnsi="黑体" w:eastAsia="黑体"/>
          <w:b w:val="0"/>
        </w:rPr>
      </w:pPr>
      <w:bookmarkStart w:id="46" w:name="_Toc15377219"/>
      <w:bookmarkStart w:id="47" w:name="_Toc10775"/>
      <w:bookmarkStart w:id="48" w:name="_Toc15396611"/>
      <w:r>
        <w:rPr>
          <w:rStyle w:val="18"/>
          <w:rFonts w:hint="eastAsia" w:ascii="黑体" w:hAnsi="黑体" w:eastAsia="黑体"/>
          <w:b w:val="0"/>
        </w:rPr>
        <w:t>国有资本经营预算支出决算情况说明</w:t>
      </w:r>
      <w:bookmarkEnd w:id="46"/>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年国有资本经营预算拨款支出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8"/>
          <w:rFonts w:ascii="黑体" w:hAnsi="黑体" w:eastAsia="黑体"/>
        </w:rPr>
      </w:pPr>
      <w:bookmarkStart w:id="49" w:name="_Toc15377221"/>
      <w:bookmarkStart w:id="50" w:name="_Toc15396612"/>
      <w:bookmarkStart w:id="51" w:name="_Toc738"/>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9"/>
      <w:bookmarkEnd w:id="50"/>
      <w:bookmarkEnd w:id="51"/>
    </w:p>
    <w:p>
      <w:pPr>
        <w:spacing w:line="600" w:lineRule="exact"/>
        <w:ind w:firstLine="643" w:firstLineChars="200"/>
        <w:outlineLvl w:val="2"/>
        <w:rPr>
          <w:rFonts w:hint="eastAsia" w:ascii="楷体_GB2312" w:hAnsi="楷体_GB2312" w:eastAsia="楷体_GB2312" w:cs="楷体_GB2312"/>
          <w:b/>
          <w:bCs w:val="0"/>
          <w:color w:val="000000"/>
          <w:sz w:val="32"/>
          <w:szCs w:val="32"/>
          <w:lang w:eastAsia="zh-CN"/>
        </w:rPr>
      </w:pPr>
      <w:bookmarkStart w:id="52" w:name="_Toc15377222"/>
      <w:r>
        <w:rPr>
          <w:rFonts w:hint="eastAsia" w:ascii="楷体_GB2312" w:hAnsi="楷体_GB2312" w:eastAsia="楷体_GB2312" w:cs="楷体_GB2312"/>
          <w:b/>
          <w:bCs w:val="0"/>
          <w:color w:val="000000"/>
          <w:sz w:val="32"/>
          <w:szCs w:val="32"/>
        </w:rPr>
        <w:t>（一）机关运行经费支出情况</w:t>
      </w:r>
      <w:bookmarkEnd w:id="52"/>
      <w:r>
        <w:rPr>
          <w:rFonts w:hint="eastAsia" w:ascii="楷体_GB2312" w:hAnsi="楷体_GB2312" w:eastAsia="楷体_GB2312" w:cs="楷体_GB2312"/>
          <w:b/>
          <w:bCs w:val="0"/>
          <w:color w:val="000000"/>
          <w:sz w:val="32"/>
          <w:szCs w:val="32"/>
          <w:lang w:eastAsia="zh-CN"/>
        </w:rPr>
        <w:t>。</w:t>
      </w:r>
    </w:p>
    <w:p>
      <w:pPr>
        <w:spacing w:line="600" w:lineRule="exact"/>
        <w:ind w:firstLine="640" w:firstLineChars="200"/>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市残联</w:t>
      </w:r>
      <w:r>
        <w:rPr>
          <w:rFonts w:hint="eastAsia" w:ascii="仿宋_GB2312" w:hAnsi="仿宋_GB2312" w:eastAsia="仿宋_GB2312" w:cs="仿宋_GB2312"/>
          <w:color w:val="000000"/>
          <w:sz w:val="32"/>
          <w:szCs w:val="32"/>
        </w:rPr>
        <w:t>机关运行经费支出</w:t>
      </w:r>
      <w:r>
        <w:rPr>
          <w:rFonts w:hint="eastAsia" w:ascii="仿宋_GB2312" w:hAnsi="仿宋_GB2312" w:cs="仿宋_GB2312"/>
          <w:color w:val="000000"/>
          <w:sz w:val="32"/>
          <w:szCs w:val="32"/>
          <w:lang w:val="en-US" w:eastAsia="zh-CN"/>
        </w:rPr>
        <w:t>30.69</w:t>
      </w:r>
      <w:r>
        <w:rPr>
          <w:rFonts w:hint="eastAsia" w:ascii="仿宋_GB2312" w:hAnsi="仿宋_GB2312" w:eastAsia="仿宋_GB2312" w:cs="仿宋_GB2312"/>
          <w:color w:val="000000"/>
          <w:sz w:val="32"/>
          <w:szCs w:val="32"/>
        </w:rPr>
        <w:t>万元，比</w:t>
      </w:r>
      <w:r>
        <w:rPr>
          <w:rFonts w:hint="eastAsia" w:ascii="仿宋_GB2312" w:hAnsi="仿宋_GB2312" w:cs="仿宋_GB2312"/>
          <w:color w:val="000000"/>
          <w:sz w:val="32"/>
          <w:szCs w:val="32"/>
          <w:lang w:val="en-US" w:eastAsia="zh-CN"/>
        </w:rPr>
        <w:t>2020年减少9.74</w:t>
      </w:r>
      <w:r>
        <w:rPr>
          <w:rFonts w:hint="eastAsia" w:ascii="仿宋_GB2312" w:hAnsi="仿宋_GB2312" w:eastAsia="仿宋_GB2312" w:cs="仿宋_GB2312"/>
          <w:color w:val="000000"/>
          <w:sz w:val="32"/>
          <w:szCs w:val="32"/>
        </w:rPr>
        <w:t>万元，</w:t>
      </w:r>
      <w:r>
        <w:rPr>
          <w:rFonts w:hint="eastAsia" w:ascii="仿宋_GB2312" w:hAnsi="仿宋_GB2312" w:cs="仿宋_GB2312"/>
          <w:color w:val="000000"/>
          <w:sz w:val="32"/>
          <w:szCs w:val="32"/>
          <w:lang w:eastAsia="zh-CN"/>
        </w:rPr>
        <w:t>下降</w:t>
      </w:r>
      <w:r>
        <w:rPr>
          <w:rFonts w:hint="eastAsia" w:ascii="仿宋_GB2312" w:hAnsi="仿宋_GB2312" w:cs="仿宋_GB2312"/>
          <w:color w:val="000000"/>
          <w:sz w:val="32"/>
          <w:szCs w:val="32"/>
          <w:lang w:val="en-US" w:eastAsia="zh-CN"/>
        </w:rPr>
        <w:t>24.09</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lang w:eastAsia="zh-CN"/>
        </w:rPr>
        <w:t>公用经费</w:t>
      </w:r>
      <w:r>
        <w:rPr>
          <w:rFonts w:hint="eastAsia" w:ascii="仿宋_GB2312" w:hAnsi="仿宋_GB2312" w:cs="仿宋_GB2312"/>
          <w:color w:val="000000"/>
          <w:lang w:eastAsia="zh-CN"/>
        </w:rPr>
        <w:t>减少</w:t>
      </w:r>
      <w:r>
        <w:rPr>
          <w:rFonts w:hint="eastAsia" w:ascii="仿宋_GB2312" w:hAnsi="仿宋_GB2312" w:eastAsia="仿宋_GB2312" w:cs="仿宋_GB2312"/>
          <w:color w:val="000000"/>
          <w:lang w:eastAsia="zh-CN"/>
        </w:rPr>
        <w:t>。</w:t>
      </w:r>
    </w:p>
    <w:p>
      <w:pPr>
        <w:numPr>
          <w:ilvl w:val="0"/>
          <w:numId w:val="0"/>
        </w:numPr>
        <w:autoSpaceDE w:val="0"/>
        <w:autoSpaceDN w:val="0"/>
        <w:adjustRightInd w:val="0"/>
        <w:spacing w:line="600" w:lineRule="exact"/>
        <w:ind w:left="640" w:leftChars="0"/>
        <w:jc w:val="left"/>
        <w:outlineLvl w:val="2"/>
        <w:rPr>
          <w:rFonts w:hint="eastAsia" w:ascii="仿宋_GB2312" w:hAnsi="仿宋_GB2312" w:cs="仿宋_GB2312"/>
          <w:b/>
          <w:color w:val="000000"/>
          <w:sz w:val="32"/>
          <w:szCs w:val="32"/>
          <w:lang w:eastAsia="zh-CN"/>
        </w:rPr>
      </w:pPr>
      <w:bookmarkStart w:id="53" w:name="_Toc15377223"/>
      <w:r>
        <w:rPr>
          <w:rFonts w:hint="eastAsia" w:ascii="仿宋_GB2312" w:hAnsi="仿宋_GB2312" w:cs="仿宋_GB2312"/>
          <w:b/>
          <w:color w:val="000000"/>
          <w:sz w:val="32"/>
          <w:szCs w:val="32"/>
          <w:lang w:eastAsia="zh-CN"/>
        </w:rPr>
        <w:t>（二）</w:t>
      </w:r>
      <w:r>
        <w:rPr>
          <w:rFonts w:hint="eastAsia" w:ascii="仿宋_GB2312" w:hAnsi="仿宋_GB2312" w:eastAsia="仿宋_GB2312" w:cs="仿宋_GB2312"/>
          <w:b/>
          <w:color w:val="000000"/>
          <w:sz w:val="32"/>
          <w:szCs w:val="32"/>
        </w:rPr>
        <w:t>政府采购支出情况</w:t>
      </w:r>
      <w:bookmarkEnd w:id="53"/>
      <w:r>
        <w:rPr>
          <w:rFonts w:hint="eastAsia" w:ascii="仿宋_GB2312" w:hAnsi="仿宋_GB2312" w:cs="仿宋_GB2312"/>
          <w:b/>
          <w:color w:val="000000"/>
          <w:sz w:val="32"/>
          <w:szCs w:val="32"/>
          <w:lang w:eastAsia="zh-CN"/>
        </w:rPr>
        <w:t>。</w:t>
      </w:r>
    </w:p>
    <w:p>
      <w:pPr>
        <w:numPr>
          <w:ilvl w:val="0"/>
          <w:numId w:val="0"/>
        </w:numPr>
        <w:autoSpaceDE w:val="0"/>
        <w:autoSpaceDN w:val="0"/>
        <w:adjustRightInd w:val="0"/>
        <w:spacing w:line="600" w:lineRule="exact"/>
        <w:ind w:firstLine="640" w:firstLineChars="200"/>
        <w:jc w:val="left"/>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市残联部门</w:t>
      </w:r>
      <w:r>
        <w:rPr>
          <w:rFonts w:hint="eastAsia" w:ascii="仿宋_GB2312" w:hAnsi="仿宋_GB2312" w:eastAsia="仿宋_GB2312" w:cs="仿宋_GB2312"/>
          <w:color w:val="000000"/>
          <w:sz w:val="32"/>
          <w:szCs w:val="32"/>
        </w:rPr>
        <w:t>政府采购支出总额</w:t>
      </w:r>
      <w:r>
        <w:rPr>
          <w:rFonts w:hint="eastAsia" w:ascii="仿宋_GB2312" w:hAnsi="仿宋_GB2312" w:cs="仿宋_GB2312"/>
          <w:color w:val="000000"/>
          <w:sz w:val="32"/>
          <w:szCs w:val="32"/>
          <w:lang w:val="en-US" w:eastAsia="zh-CN"/>
        </w:rPr>
        <w:t>472.66</w:t>
      </w:r>
      <w:r>
        <w:rPr>
          <w:rFonts w:hint="eastAsia" w:ascii="仿宋_GB2312" w:hAnsi="仿宋_GB2312" w:eastAsia="仿宋_GB2312" w:cs="仿宋_GB2312"/>
          <w:color w:val="000000"/>
          <w:sz w:val="32"/>
          <w:szCs w:val="32"/>
        </w:rPr>
        <w:t>万元，其中：政府采购货物支出</w:t>
      </w:r>
      <w:r>
        <w:rPr>
          <w:rFonts w:hint="eastAsia" w:ascii="仿宋_GB2312" w:hAnsi="仿宋_GB2312" w:cs="仿宋_GB2312"/>
          <w:color w:val="000000"/>
          <w:sz w:val="32"/>
          <w:szCs w:val="32"/>
          <w:lang w:val="en-US" w:eastAsia="zh-CN"/>
        </w:rPr>
        <w:t>123.75</w:t>
      </w:r>
      <w:r>
        <w:rPr>
          <w:rFonts w:hint="eastAsia" w:ascii="仿宋_GB2312" w:hAnsi="仿宋_GB2312" w:eastAsia="仿宋_GB2312" w:cs="仿宋_GB2312"/>
          <w:color w:val="000000"/>
          <w:sz w:val="32"/>
          <w:szCs w:val="32"/>
        </w:rPr>
        <w:t>万元、政府采购工程支出</w:t>
      </w:r>
      <w:r>
        <w:rPr>
          <w:rFonts w:hint="eastAsia" w:ascii="仿宋_GB2312" w:hAnsi="仿宋_GB2312" w:cs="仿宋_GB2312"/>
          <w:color w:val="000000"/>
          <w:sz w:val="32"/>
          <w:szCs w:val="32"/>
          <w:lang w:val="en-US" w:eastAsia="zh-CN"/>
        </w:rPr>
        <w:t>348.91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主要用于</w:t>
      </w:r>
      <w:r>
        <w:rPr>
          <w:rFonts w:hint="eastAsia" w:ascii="仿宋_GB2312" w:hAnsi="仿宋_GB2312" w:eastAsia="仿宋_GB2312" w:cs="仿宋_GB2312"/>
          <w:sz w:val="32"/>
          <w:szCs w:val="32"/>
        </w:rPr>
        <w:t>采购办公设备、公车运行维护、市残疾人康复中心大楼建设中央空调及附属设施康复设备等。</w:t>
      </w:r>
      <w:r>
        <w:rPr>
          <w:rFonts w:hint="eastAsia" w:ascii="仿宋_GB2312" w:hAnsi="仿宋_GB2312" w:eastAsia="仿宋_GB2312" w:cs="仿宋_GB2312"/>
          <w:color w:val="000000"/>
          <w:sz w:val="32"/>
          <w:szCs w:val="32"/>
        </w:rPr>
        <w:t>授予中小企业合同金额</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%，其中：授予小微企业合同金额</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万元，占政府采购支出总额的</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numPr>
          <w:ilvl w:val="0"/>
          <w:numId w:val="0"/>
        </w:numPr>
        <w:autoSpaceDE w:val="0"/>
        <w:autoSpaceDN w:val="0"/>
        <w:adjustRightInd w:val="0"/>
        <w:spacing w:line="600" w:lineRule="exact"/>
        <w:ind w:left="640" w:leftChars="0"/>
        <w:jc w:val="left"/>
        <w:outlineLvl w:val="2"/>
        <w:rPr>
          <w:rFonts w:hint="eastAsia" w:ascii="楷体_GB2312" w:hAnsi="楷体_GB2312" w:eastAsia="楷体_GB2312" w:cs="楷体_GB2312"/>
          <w:b/>
          <w:color w:val="000000"/>
          <w:sz w:val="32"/>
          <w:szCs w:val="32"/>
          <w:lang w:eastAsia="zh-CN"/>
        </w:rPr>
      </w:pPr>
      <w:bookmarkStart w:id="54" w:name="_Toc15377224"/>
      <w:r>
        <w:rPr>
          <w:rFonts w:hint="eastAsia" w:ascii="楷体_GB2312" w:hAnsi="楷体_GB2312" w:eastAsia="楷体_GB2312" w:cs="楷体_GB2312"/>
          <w:b/>
          <w:color w:val="000000"/>
          <w:sz w:val="32"/>
          <w:szCs w:val="32"/>
          <w:lang w:eastAsia="zh-CN"/>
        </w:rPr>
        <w:t>（三）</w:t>
      </w:r>
      <w:r>
        <w:rPr>
          <w:rFonts w:hint="eastAsia" w:ascii="楷体_GB2312" w:hAnsi="楷体_GB2312" w:eastAsia="楷体_GB2312" w:cs="楷体_GB2312"/>
          <w:b/>
          <w:color w:val="000000"/>
          <w:sz w:val="32"/>
          <w:szCs w:val="32"/>
        </w:rPr>
        <w:t>国有资产占有使用情况</w:t>
      </w:r>
      <w:bookmarkEnd w:id="54"/>
      <w:r>
        <w:rPr>
          <w:rFonts w:hint="eastAsia" w:ascii="楷体_GB2312" w:hAnsi="楷体_GB2312" w:eastAsia="楷体_GB2312" w:cs="楷体_GB2312"/>
          <w:b/>
          <w:color w:val="000000"/>
          <w:sz w:val="32"/>
          <w:szCs w:val="32"/>
          <w:lang w:eastAsia="zh-CN"/>
        </w:rPr>
        <w:t>。</w:t>
      </w:r>
    </w:p>
    <w:p>
      <w:pPr>
        <w:numPr>
          <w:ilvl w:val="0"/>
          <w:numId w:val="0"/>
        </w:numPr>
        <w:autoSpaceDE w:val="0"/>
        <w:autoSpaceDN w:val="0"/>
        <w:adjustRightInd w:val="0"/>
        <w:spacing w:line="600" w:lineRule="exact"/>
        <w:ind w:firstLine="640" w:firstLineChars="200"/>
        <w:jc w:val="left"/>
        <w:outlineLvl w:val="2"/>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截至202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年12月31日，</w:t>
      </w:r>
      <w:r>
        <w:rPr>
          <w:rFonts w:hint="eastAsia" w:ascii="仿宋_GB2312" w:hAnsi="仿宋_GB2312" w:eastAsia="仿宋_GB2312" w:cs="仿宋_GB2312"/>
          <w:color w:val="000000"/>
          <w:sz w:val="32"/>
          <w:szCs w:val="32"/>
          <w:lang w:eastAsia="zh-CN"/>
        </w:rPr>
        <w:t>市残联部门</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其他用车主要是用于</w:t>
      </w:r>
      <w:r>
        <w:rPr>
          <w:rFonts w:hint="eastAsia" w:ascii="仿宋_GB2312" w:hAnsi="仿宋_GB2312" w:eastAsia="仿宋_GB2312" w:cs="仿宋_GB2312"/>
        </w:rPr>
        <w:t>市残联机关及下属事业单位开展残疾人辅具配送、残疾人入户调查、残疾人慰问帮扶</w:t>
      </w:r>
      <w:r>
        <w:rPr>
          <w:rFonts w:hint="eastAsia" w:ascii="仿宋_GB2312" w:hAnsi="仿宋_GB2312" w:eastAsia="仿宋_GB2312" w:cs="仿宋_GB2312"/>
          <w:color w:val="000000"/>
        </w:rPr>
        <w:t>等</w:t>
      </w:r>
      <w:r>
        <w:rPr>
          <w:rFonts w:hint="eastAsia" w:ascii="仿宋_GB2312" w:hAnsi="仿宋_GB2312" w:eastAsia="仿宋_GB2312" w:cs="仿宋_GB2312"/>
          <w:color w:val="000000"/>
          <w:lang w:eastAsia="zh-CN"/>
        </w:rPr>
        <w:t>残疾人事业相关工作。</w:t>
      </w:r>
      <w:r>
        <w:rPr>
          <w:rFonts w:hint="eastAsia" w:ascii="仿宋_GB2312" w:hAnsi="仿宋_GB2312" w:eastAsia="仿宋_GB2312" w:cs="仿宋_GB2312"/>
          <w:color w:val="000000"/>
          <w:sz w:val="32"/>
          <w:szCs w:val="32"/>
        </w:rPr>
        <w:t>单价50万元以上通用设备</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台，单价100万元以上专用设备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spacing w:line="58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rPr>
        <w:t>根据预算绩效管理要求，本部门在2021年度预算编制阶段，组织对</w:t>
      </w:r>
      <w:r>
        <w:rPr>
          <w:rFonts w:hint="eastAsia" w:ascii="仿宋_GB2312" w:hAnsi="仿宋_GB2312" w:cs="仿宋_GB2312"/>
          <w:szCs w:val="32"/>
          <w:lang w:eastAsia="zh-CN"/>
        </w:rPr>
        <w:t>残疾人康复</w:t>
      </w:r>
      <w:r>
        <w:rPr>
          <w:rFonts w:hint="eastAsia" w:ascii="仿宋_GB2312" w:hAnsi="仿宋_GB2312" w:cs="仿宋_GB2312"/>
          <w:szCs w:val="32"/>
        </w:rPr>
        <w:t>项目等</w:t>
      </w:r>
      <w:r>
        <w:rPr>
          <w:rFonts w:hint="eastAsia" w:ascii="仿宋_GB2312" w:hAnsi="仿宋_GB2312" w:cs="仿宋_GB2312"/>
          <w:szCs w:val="32"/>
          <w:lang w:eastAsia="zh-CN"/>
        </w:rPr>
        <w:t>十一</w:t>
      </w:r>
      <w:r>
        <w:rPr>
          <w:rFonts w:hint="eastAsia" w:ascii="仿宋_GB2312" w:hAnsi="仿宋_GB2312" w:cs="仿宋_GB2312"/>
          <w:szCs w:val="32"/>
        </w:rPr>
        <w:t>个项目开展了预算事前绩效评估，对</w:t>
      </w:r>
      <w:r>
        <w:rPr>
          <w:rFonts w:hint="eastAsia" w:ascii="仿宋_GB2312" w:hAnsi="仿宋_GB2312" w:cs="仿宋_GB2312"/>
          <w:szCs w:val="32"/>
          <w:lang w:eastAsia="zh-CN"/>
        </w:rPr>
        <w:t>十一</w:t>
      </w:r>
      <w:r>
        <w:rPr>
          <w:rFonts w:hint="eastAsia" w:ascii="仿宋_GB2312" w:hAnsi="仿宋_GB2312" w:cs="仿宋_GB2312"/>
          <w:szCs w:val="32"/>
        </w:rPr>
        <w:t>个项目编制了绩效目标，预算执行过程中，选取</w:t>
      </w:r>
      <w:r>
        <w:rPr>
          <w:rFonts w:hint="eastAsia" w:ascii="仿宋_GB2312" w:hAnsi="仿宋_GB2312" w:cs="仿宋_GB2312"/>
          <w:szCs w:val="32"/>
          <w:lang w:val="en-US" w:eastAsia="zh-CN"/>
        </w:rPr>
        <w:t>5</w:t>
      </w:r>
      <w:r>
        <w:rPr>
          <w:rFonts w:hint="eastAsia" w:ascii="仿宋_GB2312" w:hAnsi="仿宋_GB2312" w:cs="仿宋_GB2312"/>
          <w:szCs w:val="32"/>
        </w:rPr>
        <w:t>个项目开展绩效监控，年终执行完毕后，对</w:t>
      </w:r>
      <w:r>
        <w:rPr>
          <w:rFonts w:hint="eastAsia" w:ascii="仿宋_GB2312" w:hAnsi="仿宋_GB2312" w:cs="仿宋_GB2312"/>
          <w:szCs w:val="32"/>
          <w:lang w:val="en-US" w:eastAsia="zh-CN"/>
        </w:rPr>
        <w:t>5</w:t>
      </w:r>
      <w:r>
        <w:rPr>
          <w:rFonts w:hint="eastAsia" w:ascii="仿宋_GB2312" w:hAnsi="仿宋_GB2312" w:cs="仿宋_GB2312"/>
          <w:szCs w:val="32"/>
        </w:rPr>
        <w:t>个项目开展了绩效自评</w:t>
      </w:r>
      <w:r>
        <w:rPr>
          <w:rFonts w:hint="eastAsia" w:ascii="仿宋_GB2312" w:hAnsi="仿宋_GB2312" w:cs="仿宋_GB2312"/>
          <w:szCs w:val="32"/>
          <w:lang w:eastAsia="zh-CN"/>
        </w:rPr>
        <w:t>。</w:t>
      </w:r>
      <w:r>
        <w:rPr>
          <w:rFonts w:hint="eastAsia" w:ascii="仿宋_GB2312" w:hAnsi="仿宋_GB2312" w:cs="仿宋_GB2312"/>
          <w:szCs w:val="32"/>
        </w:rPr>
        <w:t>同时，本部门对2021年部门整体开展绩效自评</w:t>
      </w:r>
      <w:r>
        <w:rPr>
          <w:rFonts w:hint="eastAsia" w:ascii="仿宋_GB2312" w:hAnsi="仿宋_GB2312" w:cs="仿宋_GB2312"/>
          <w:szCs w:val="32"/>
          <w:lang w:eastAsia="zh-CN"/>
        </w:rPr>
        <w:t>。</w:t>
      </w:r>
    </w:p>
    <w:p>
      <w:pPr>
        <w:pStyle w:val="2"/>
        <w:rPr>
          <w:rFonts w:hint="eastAsia" w:ascii="仿宋_GB2312" w:hAnsi="仿宋_GB2312" w:cs="仿宋_GB2312"/>
          <w:szCs w:val="32"/>
          <w:lang w:eastAsia="zh-CN"/>
        </w:rPr>
      </w:pPr>
    </w:p>
    <w:p>
      <w:pPr>
        <w:pStyle w:val="4"/>
        <w:rPr>
          <w:rFonts w:hint="eastAsia" w:ascii="仿宋_GB2312" w:hAnsi="仿宋_GB2312" w:cs="仿宋_GB2312"/>
          <w:szCs w:val="32"/>
          <w:lang w:eastAsia="zh-CN"/>
        </w:rPr>
      </w:pPr>
    </w:p>
    <w:p>
      <w:pPr>
        <w:rPr>
          <w:rFonts w:hint="eastAsia" w:ascii="仿宋_GB2312" w:hAnsi="仿宋_GB2312" w:cs="仿宋_GB2312"/>
          <w:szCs w:val="32"/>
          <w:lang w:eastAsia="zh-CN"/>
        </w:rPr>
      </w:pPr>
    </w:p>
    <w:p>
      <w:pPr>
        <w:pStyle w:val="2"/>
        <w:rPr>
          <w:rFonts w:hint="eastAsia" w:ascii="仿宋_GB2312" w:hAnsi="仿宋_GB2312" w:cs="仿宋_GB2312"/>
          <w:szCs w:val="32"/>
          <w:lang w:eastAsia="zh-CN"/>
        </w:rPr>
      </w:pPr>
    </w:p>
    <w:p>
      <w:pPr>
        <w:pStyle w:val="4"/>
        <w:rPr>
          <w:rFonts w:hint="eastAsia" w:ascii="仿宋_GB2312" w:hAnsi="仿宋_GB2312" w:cs="仿宋_GB2312"/>
          <w:szCs w:val="32"/>
          <w:lang w:eastAsia="zh-CN"/>
        </w:rPr>
      </w:pPr>
    </w:p>
    <w:p>
      <w:pPr>
        <w:rPr>
          <w:rFonts w:hint="eastAsia" w:ascii="仿宋_GB2312" w:hAnsi="仿宋_GB2312" w:cs="仿宋_GB2312"/>
          <w:szCs w:val="32"/>
          <w:lang w:eastAsia="zh-CN"/>
        </w:rPr>
      </w:pPr>
    </w:p>
    <w:p>
      <w:pPr>
        <w:pStyle w:val="2"/>
        <w:rPr>
          <w:rFonts w:hint="eastAsia" w:ascii="仿宋_GB2312" w:hAnsi="仿宋_GB2312" w:cs="仿宋_GB2312"/>
          <w:szCs w:val="32"/>
          <w:lang w:eastAsia="zh-CN"/>
        </w:rPr>
      </w:pPr>
    </w:p>
    <w:p>
      <w:pPr>
        <w:pStyle w:val="4"/>
        <w:rPr>
          <w:rFonts w:hint="eastAsia" w:ascii="仿宋_GB2312" w:hAnsi="仿宋_GB2312" w:cs="仿宋_GB2312"/>
          <w:szCs w:val="32"/>
          <w:lang w:eastAsia="zh-CN"/>
        </w:rPr>
      </w:pPr>
    </w:p>
    <w:p>
      <w:pPr>
        <w:rPr>
          <w:rFonts w:hint="eastAsia" w:ascii="仿宋_GB2312" w:hAnsi="仿宋_GB2312" w:cs="仿宋_GB2312"/>
          <w:szCs w:val="32"/>
          <w:lang w:eastAsia="zh-CN"/>
        </w:rPr>
      </w:pPr>
    </w:p>
    <w:p>
      <w:pPr>
        <w:pStyle w:val="2"/>
        <w:rPr>
          <w:rFonts w:hint="eastAsia" w:ascii="仿宋_GB2312" w:hAnsi="仿宋_GB2312" w:cs="仿宋_GB2312"/>
          <w:szCs w:val="32"/>
          <w:lang w:eastAsia="zh-CN"/>
        </w:rPr>
      </w:pPr>
    </w:p>
    <w:p>
      <w:pPr>
        <w:pStyle w:val="4"/>
        <w:rPr>
          <w:rFonts w:hint="eastAsia" w:ascii="仿宋_GB2312" w:hAnsi="仿宋_GB2312" w:cs="仿宋_GB2312"/>
          <w:szCs w:val="32"/>
          <w:lang w:eastAsia="zh-CN"/>
        </w:rPr>
      </w:pPr>
    </w:p>
    <w:p>
      <w:pPr>
        <w:rPr>
          <w:rFonts w:hint="eastAsia" w:ascii="仿宋_GB2312" w:hAnsi="仿宋_GB2312" w:cs="仿宋_GB2312"/>
          <w:szCs w:val="32"/>
          <w:lang w:eastAsia="zh-CN"/>
        </w:rPr>
      </w:pPr>
    </w:p>
    <w:p>
      <w:pPr>
        <w:pStyle w:val="4"/>
        <w:ind w:left="0" w:leftChars="0" w:firstLine="0" w:firstLineChars="0"/>
        <w:rPr>
          <w:rFonts w:hint="eastAsia" w:ascii="仿宋_GB2312" w:hAnsi="仿宋_GB2312" w:cs="仿宋_GB2312"/>
          <w:szCs w:val="32"/>
          <w:lang w:eastAsia="zh-CN"/>
        </w:rPr>
      </w:pPr>
    </w:p>
    <w:p>
      <w:pPr>
        <w:spacing w:line="580" w:lineRule="exact"/>
        <w:rPr>
          <w:rFonts w:hint="eastAsia" w:ascii="仿宋_GB2312" w:hAnsi="仿宋_GB2312" w:eastAsia="仿宋_GB2312"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0" w:firstLineChars="0"/>
        <w:jc w:val="center"/>
        <w:textAlignment w:val="auto"/>
        <w:outlineLvl w:val="0"/>
        <w:rPr>
          <w:rStyle w:val="17"/>
          <w:rFonts w:ascii="黑体" w:hAnsi="黑体" w:eastAsia="黑体"/>
          <w:b w:val="0"/>
        </w:rPr>
      </w:pPr>
      <w:bookmarkStart w:id="55" w:name="_Toc3536"/>
      <w:bookmarkStart w:id="56" w:name="_Toc15377225"/>
      <w:bookmarkStart w:id="57"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bookmarkEnd w:id="57"/>
    </w:p>
    <w:p>
      <w:pPr>
        <w:spacing w:line="600" w:lineRule="exact"/>
        <w:jc w:val="left"/>
        <w:rPr>
          <w:rFonts w:ascii="宋体"/>
          <w:b/>
          <w:color w:val="000000"/>
          <w:sz w:val="44"/>
          <w:szCs w:val="44"/>
        </w:rPr>
      </w:pPr>
    </w:p>
    <w:p>
      <w:pPr>
        <w:pStyle w:val="2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4.社会保障和就业（类）行政事业单位养老（款）行政单位离退休（项）：指反映实行归口管理的行政单位（包括实行公务员管理的事业单位）开支的离退休经费。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5.社会保障和就业（类）行政事业单位养老（款）事业单位离退休（项）：指反映实行归口管理的事业单位开支的离退休经费。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6.社会保障和就业（类）行政事业单位养老（款）机关事业单位基本养老保险缴费支出（项）：指反映机关事业单位实施养老保险制度由单位缴纳的基本养老保险费支出。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7.社会保障和就业（类）行政事业单位养老（款）机关事业单位职业年金缴费支出（项）：指反映机关事业单位实施养老保险制度由单位实际缴纳的职业年金支出。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8.社会保障和就业（类）残疾人事业（款）行政运行（项）：指反映行政单位（包括实行公务员管理的事业单位）的基本支出。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社会保障和就业（类）残疾人事业（款）机关服务（项）：指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10.社会保障和就业（类）残疾人事业（款）残疾人康复（项）：指反映残疾人联合会用于残疾人康复方面的支出。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11.社会保障和就业（类）残疾人事业（款）残疾人就业和扶贫（项）：指反映残疾人联合会用于残疾人就业和扶贫等方面的支出。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12.社会保障和就业（类）残疾人事业（款）残疾人体育（项）：指反映残疾人联合会用于残疾人体育方面的支出。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13.社会保障和就业（类）残疾人事业（款）其他残疾人事业支出（项）：指反映上述项目以外其他用于残疾人事业方面的支出。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卫生健康支出（类）行政事业单位医疗（款）行政单位医疗（项）：指反映财政部门集中安排的行政单位基本医疗保险缴费经费，未参加医疗保险的行政单位的公费医疗经费，按国家规定享受离休人员、红军老战士待遇人员的医疗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卫生健康支出（类）行政事业单位医疗（款）事业单位医疗（项）：指反映财政部门集中安排的事业单位基本医疗保险缴费经费，未参加医疗保险的行政单位的公费医疗经费，按国家规定享受离休人员的医疗经费。</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16.住房保障支出（类）住房改革支出（款）住房公积金（项）：指反映行政事业单位按人力资源和社会保障部、财政部规定的基本工资和津贴补贴以及规定比例为职工缴纳的住房公积金。</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17.其他支出（类）彩票公益金安排的支出（款）用于社会福利的彩票公益金支出（项）：指反映用于残疾人事业的彩票公益金支出。</w:t>
      </w:r>
    </w:p>
    <w:p>
      <w:pPr>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18.其他支出（类）彩票公益金安排的支出（款）用于体育事业的彩票公益金支出（项）：指反映用于体育事业的彩票公益金支出。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19.基本支出：指为保障机构正常运转、完成日常工作任务而发生的人员支出和公用支出。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20.项目支出：指在基本支出之外为完成特定行政任务和事业发展目标所发生的支出。 </w:t>
      </w:r>
    </w:p>
    <w:p>
      <w:pPr>
        <w:pStyle w:val="20"/>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8" w:name="_Toc11207"/>
      <w:bookmarkStart w:id="59" w:name="_Toc15396614"/>
      <w:bookmarkStart w:id="60"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bookmarkEnd w:id="59"/>
    </w:p>
    <w:p>
      <w:pPr>
        <w:spacing w:line="600" w:lineRule="exact"/>
        <w:jc w:val="left"/>
        <w:outlineLvl w:val="1"/>
        <w:rPr>
          <w:rFonts w:ascii="方正小标宋简体" w:hAnsi="方正小标宋简体" w:eastAsia="方正小标宋简体" w:cs="方正小标宋简体"/>
          <w:sz w:val="32"/>
          <w:szCs w:val="32"/>
        </w:rPr>
      </w:pPr>
      <w:bookmarkStart w:id="61" w:name="_Toc22930"/>
      <w:r>
        <w:rPr>
          <w:rFonts w:hint="eastAsia" w:ascii="黑体" w:hAnsi="黑体" w:eastAsia="黑体" w:cs="黑体"/>
          <w:sz w:val="32"/>
          <w:szCs w:val="32"/>
        </w:rPr>
        <w:t>附件</w:t>
      </w:r>
      <w:r>
        <w:rPr>
          <w:rFonts w:ascii="黑体" w:hAnsi="黑体" w:eastAsia="黑体" w:cs="黑体"/>
          <w:sz w:val="32"/>
          <w:szCs w:val="32"/>
        </w:rPr>
        <w:t>1</w:t>
      </w:r>
      <w:bookmarkEnd w:id="61"/>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自贡市残疾人联合会</w:t>
      </w: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lang w:val="zh-CN"/>
        </w:rPr>
        <w:t>年部门整体支出绩效评价报告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7"/>
        <w:numPr>
          <w:ilvl w:val="0"/>
          <w:numId w:val="0"/>
        </w:numPr>
        <w:adjustRightInd w:val="0"/>
        <w:snapToGrid w:val="0"/>
        <w:spacing w:before="174" w:beforeLines="30" w:line="560" w:lineRule="exact"/>
        <w:ind w:firstLine="640" w:firstLineChars="200"/>
        <w:jc w:val="both"/>
        <w:outlineLvl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自贡市残疾人联合会为</w:t>
      </w:r>
      <w:r>
        <w:rPr>
          <w:rFonts w:hint="eastAsia" w:hAnsi="宋体" w:cs="宋体"/>
          <w:color w:val="000000"/>
          <w:kern w:val="0"/>
          <w:sz w:val="32"/>
          <w:szCs w:val="32"/>
          <w:shd w:val="clear" w:color="auto" w:fill="FFFFFF"/>
          <w:lang w:val="zh-CN" w:eastAsia="zh-CN" w:bidi="ar-SA"/>
        </w:rPr>
        <w:t>正</w:t>
      </w:r>
      <w:r>
        <w:rPr>
          <w:rFonts w:hint="eastAsia" w:ascii="仿宋_GB2312" w:hAnsi="宋体" w:eastAsia="仿宋_GB2312" w:cs="宋体"/>
          <w:color w:val="000000"/>
          <w:kern w:val="0"/>
          <w:sz w:val="32"/>
          <w:szCs w:val="32"/>
          <w:shd w:val="clear" w:color="auto" w:fill="FFFFFF"/>
          <w:lang w:val="zh-CN" w:eastAsia="zh-CN" w:bidi="ar-SA"/>
        </w:rPr>
        <w:t>县级参照公务员管理的事业单位，下属一个事业单位：自贡市残疾人综合服务中心</w:t>
      </w:r>
      <w:r>
        <w:rPr>
          <w:rFonts w:hint="eastAsia" w:hAnsi="宋体" w:cs="宋体"/>
          <w:color w:val="000000"/>
          <w:kern w:val="0"/>
          <w:sz w:val="32"/>
          <w:szCs w:val="32"/>
          <w:shd w:val="clear" w:color="auto" w:fill="FFFFFF"/>
          <w:lang w:val="zh-CN" w:eastAsia="zh-CN" w:bidi="ar-SA"/>
        </w:rPr>
        <w:t>。</w:t>
      </w:r>
      <w:r>
        <w:rPr>
          <w:rFonts w:hint="eastAsia" w:ascii="仿宋_GB2312" w:hAnsi="宋体" w:eastAsia="仿宋_GB2312" w:cs="宋体"/>
          <w:color w:val="000000"/>
          <w:kern w:val="0"/>
          <w:sz w:val="32"/>
          <w:szCs w:val="32"/>
          <w:shd w:val="clear" w:color="auto" w:fill="FFFFFF"/>
          <w:lang w:val="zh-CN" w:eastAsia="zh-CN" w:bidi="ar-SA"/>
        </w:rPr>
        <w:t>本会内设机构有：办公室、康复科、教育就业科、维权宣文科共四个科室。</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7"/>
        <w:keepNext w:val="0"/>
        <w:keepLines w:val="0"/>
        <w:pageBreakBefore w:val="0"/>
        <w:widowControl w:val="0"/>
        <w:kinsoku/>
        <w:wordWrap/>
        <w:overflowPunct/>
        <w:topLinePunct w:val="0"/>
        <w:autoSpaceDE/>
        <w:autoSpaceDN/>
        <w:bidi w:val="0"/>
        <w:adjustRightInd w:val="0"/>
        <w:snapToGrid w:val="0"/>
        <w:spacing w:before="93" w:line="360" w:lineRule="auto"/>
        <w:ind w:firstLine="640" w:firstLineChars="200"/>
        <w:textAlignment w:val="auto"/>
        <w:outlineLvl w:val="2"/>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1.密切联系残疾人，听取残疾人的意见，反映残疾人的需求，代表残疾人的共同利益，维护残疾人的合法权益，全心全意为残疾人服务。</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2.团结广大残疾人，教育残疾人遵守法律，履行应尽的义务，发扬乐观进取精神，自尊、自信、自强、自重，为社会主义现代化建设贡献力量。</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3.沟通政府、社会与残疾人之</w:t>
      </w:r>
      <w:r>
        <w:rPr>
          <w:rFonts w:hint="eastAsia" w:ascii="Times New Roman" w:cs="仿宋_GB2312"/>
          <w:kern w:val="0"/>
          <w:sz w:val="32"/>
          <w:szCs w:val="32"/>
          <w:lang w:val="en-US" w:eastAsia="zh-CN" w:bidi="ar-SA"/>
        </w:rPr>
        <w:t>间</w:t>
      </w:r>
      <w:r>
        <w:rPr>
          <w:rFonts w:hint="eastAsia" w:ascii="Times New Roman" w:hAnsi="Times New Roman" w:eastAsia="仿宋_GB2312" w:cs="仿宋_GB2312"/>
          <w:kern w:val="0"/>
          <w:sz w:val="32"/>
          <w:szCs w:val="32"/>
          <w:lang w:val="en-US" w:eastAsia="zh-CN" w:bidi="ar-SA"/>
        </w:rPr>
        <w:t>的联系，弘扬人道主义精神，宣传残疾人事业，动员全社会理解、尊重、</w:t>
      </w:r>
      <w:bookmarkStart w:id="91" w:name="_GoBack"/>
      <w:bookmarkEnd w:id="91"/>
      <w:r>
        <w:rPr>
          <w:rFonts w:hint="eastAsia" w:ascii="Times New Roman" w:hAnsi="Times New Roman" w:eastAsia="仿宋_GB2312" w:cs="仿宋_GB2312"/>
          <w:kern w:val="0"/>
          <w:sz w:val="32"/>
          <w:szCs w:val="32"/>
          <w:lang w:val="en-US" w:eastAsia="zh-CN" w:bidi="ar-SA"/>
        </w:rPr>
        <w:t>关心和帮助残疾人。</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4.开展和促进残疾人康复、扶贫、教育、劳动就业、文化生活、福利、社会服务、无障碍设施和残疾预防等工作，改善残疾人参与社会生活的环境和条件。</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5.协助政府研究、制定和实施有关残疾人事业的政策、规划和计划，发挥综合、协调、咨询、服务作用，对相关业务进行管理和指导。</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6.协助区县党委考察区县残联领导班子和做好对残联干部的管理工作；负责培训各区县和企事业单位残联干部，加强残联干部队伍建设；指导全市企事业单位残疾人工作。</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7.组织实施我市按比例安排残疾人就业工作；指导和宏观管理残联系统的残疾人福利企业，会同有关部门制定和监督实施残疾人福利生产的扶持保护政策。</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Times New Roman" w:hAnsi="Times New Roman" w:eastAsia="仿宋_GB2312" w:cs="仿宋_GB2312"/>
          <w:kern w:val="0"/>
          <w:sz w:val="32"/>
          <w:szCs w:val="32"/>
          <w:lang w:val="en-US" w:eastAsia="zh-CN" w:bidi="ar-SA"/>
        </w:rPr>
        <w:t>8.负责对各类残疾人社会团体组织和经济组织进行监督管理；统筹开展为残疾人事业募捐工作及其活动；开展残疾人事业对外交流与合作。</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9.承担市政府残疾人工作协调委员会的日常工作。</w:t>
      </w:r>
      <w:r>
        <w:rPr>
          <w:rFonts w:hint="eastAsia" w:ascii="Times New Roman" w:hAnsi="Times New Roman" w:eastAsia="仿宋_GB2312" w:cs="仿宋_GB2312"/>
          <w:kern w:val="0"/>
          <w:sz w:val="32"/>
          <w:szCs w:val="32"/>
          <w:lang w:val="en-US" w:eastAsia="zh-CN" w:bidi="ar-SA"/>
        </w:rPr>
        <w:br w:type="textWrapping"/>
      </w:r>
      <w:r>
        <w:rPr>
          <w:rFonts w:hint="eastAsia" w:ascii="Times New Roman" w:hAnsi="Times New Roman" w:eastAsia="仿宋_GB2312" w:cs="仿宋_GB2312"/>
          <w:kern w:val="0"/>
          <w:sz w:val="32"/>
          <w:szCs w:val="32"/>
          <w:lang w:val="en-US" w:eastAsia="zh-CN" w:bidi="ar-SA"/>
        </w:rPr>
        <w:t xml:space="preserve">    10.承办市政府及省残联交办的其他事项。</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firstLine="640" w:firstLineChars="200"/>
        <w:jc w:val="both"/>
        <w:textAlignment w:val="baseline"/>
        <w:rPr>
          <w:rFonts w:eastAsia="楷体_GB2312"/>
          <w:b w:val="0"/>
          <w:bCs/>
          <w:color w:val="000000"/>
          <w:kern w:val="0"/>
          <w:shd w:val="clear" w:color="auto" w:fill="FFFFFF"/>
          <w:lang w:val="zh-CN" w:eastAsia="zh-CN"/>
        </w:rPr>
      </w:pPr>
      <w:r>
        <w:rPr>
          <w:rStyle w:val="15"/>
          <w:rFonts w:hint="eastAsia" w:ascii="Times New Roman" w:hAnsi="Times New Roman" w:eastAsia="仿宋_GB2312" w:cs="Times New Roman"/>
          <w:b w:val="0"/>
          <w:i w:val="0"/>
          <w:caps w:val="0"/>
          <w:spacing w:val="0"/>
          <w:w w:val="100"/>
          <w:kern w:val="2"/>
          <w:sz w:val="32"/>
          <w:szCs w:val="24"/>
          <w:lang w:val="en-US" w:eastAsia="zh-CN" w:bidi="ar-SA"/>
        </w:rPr>
        <w:t>市残联人员编制数34人，其中：参照公务员法管理事业人员13人、事业编制人数21人。2021年年末实有在职在编数27人，其中：参照公务员法管理事业人员11人、事业人员16人。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70" w:lineRule="exact"/>
        <w:ind w:firstLine="72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rPr>
        <w:t>20</w:t>
      </w:r>
      <w:r>
        <w:rPr>
          <w:rFonts w:hint="eastAsia" w:ascii="仿宋_GB2312" w:hAnsi="仿宋"/>
          <w:lang w:val="en-US" w:eastAsia="zh-CN"/>
        </w:rPr>
        <w:t>21</w:t>
      </w:r>
      <w:r>
        <w:rPr>
          <w:rFonts w:hint="eastAsia" w:ascii="仿宋_GB2312" w:hAnsi="仿宋"/>
        </w:rPr>
        <w:t>年总收入</w:t>
      </w:r>
      <w:r>
        <w:rPr>
          <w:rFonts w:hint="eastAsia" w:ascii="仿宋_GB2312" w:hAnsi="仿宋"/>
          <w:lang w:val="en-US" w:eastAsia="zh-CN"/>
        </w:rPr>
        <w:t>1324.88</w:t>
      </w:r>
      <w:r>
        <w:rPr>
          <w:rFonts w:hint="eastAsia" w:ascii="仿宋_GB2312" w:hAnsi="仿宋"/>
        </w:rPr>
        <w:t>万元</w:t>
      </w:r>
      <w:r>
        <w:rPr>
          <w:rFonts w:hint="eastAsia" w:ascii="仿宋_GB2312" w:hAnsi="仿宋"/>
          <w:lang w:eastAsia="zh-CN"/>
        </w:rPr>
        <w:t>，</w:t>
      </w:r>
      <w:r>
        <w:rPr>
          <w:rFonts w:hint="eastAsia" w:ascii="仿宋_GB2312" w:hAnsi="仿宋_GB2312" w:cs="仿宋_GB2312"/>
        </w:rPr>
        <w:t>全部为财政拨款收入</w:t>
      </w:r>
      <w:r>
        <w:rPr>
          <w:rFonts w:hint="eastAsia" w:ascii="仿宋_GB2312" w:hAnsi="仿宋_GB2312" w:cs="仿宋_GB2312"/>
          <w:lang w:eastAsia="zh-CN"/>
        </w:rPr>
        <w:t>。其中：</w:t>
      </w:r>
      <w:r>
        <w:rPr>
          <w:rFonts w:hint="eastAsia" w:ascii="仿宋_GB2312"/>
        </w:rPr>
        <w:t>本年收入</w:t>
      </w:r>
      <w:r>
        <w:rPr>
          <w:rFonts w:hint="eastAsia" w:ascii="仿宋_GB2312"/>
          <w:lang w:eastAsia="zh-CN"/>
        </w:rPr>
        <w:t>合计</w:t>
      </w:r>
      <w:r>
        <w:rPr>
          <w:rFonts w:hint="eastAsia" w:ascii="仿宋_GB2312"/>
          <w:lang w:val="en-US" w:eastAsia="zh-CN"/>
        </w:rPr>
        <w:t>1290.68万</w:t>
      </w:r>
      <w:r>
        <w:rPr>
          <w:rFonts w:hint="eastAsia" w:ascii="仿宋_GB2312"/>
        </w:rPr>
        <w:t>元</w:t>
      </w:r>
      <w:r>
        <w:rPr>
          <w:rFonts w:hint="eastAsia" w:ascii="仿宋_GB2312"/>
          <w:lang w:eastAsia="zh-CN"/>
        </w:rPr>
        <w:t>；年初结转和结余</w:t>
      </w:r>
      <w:r>
        <w:rPr>
          <w:rFonts w:hint="eastAsia" w:ascii="仿宋_GB2312"/>
          <w:lang w:val="en-US" w:eastAsia="zh-CN"/>
        </w:rPr>
        <w:t>34.2万</w:t>
      </w:r>
      <w:r>
        <w:rPr>
          <w:rFonts w:hint="eastAsia" w:ascii="仿宋_GB2312"/>
        </w:rPr>
        <w:t>元</w:t>
      </w:r>
      <w:r>
        <w:rPr>
          <w:rFonts w:hint="eastAsia" w:ascii="仿宋_GB2312" w:hAnsi="仿宋"/>
        </w:rPr>
        <w:t>。</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（二）</w:t>
      </w: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cs="宋体"/>
          <w:color w:val="000000"/>
          <w:kern w:val="0"/>
          <w:sz w:val="32"/>
          <w:szCs w:val="32"/>
          <w:shd w:val="clear" w:color="auto" w:fill="FFFFFF"/>
          <w:lang w:val="en-US" w:eastAsia="zh-CN"/>
        </w:rPr>
        <w:t>2021年总支出1324.88万元。其中：本年支出合计1324.88万元；年末结转和结余0万元。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ascii="仿宋_GB2312"/>
        </w:rPr>
      </w:pPr>
      <w:r>
        <w:rPr>
          <w:rFonts w:hint="eastAsia" w:ascii="仿宋_GB2312"/>
          <w:lang w:eastAsia="zh-CN"/>
        </w:rPr>
        <w:t>市残联</w:t>
      </w:r>
      <w:r>
        <w:rPr>
          <w:rFonts w:hint="eastAsia" w:ascii="仿宋_GB2312"/>
        </w:rPr>
        <w:t>严格按照市财政局的要求编制了20</w:t>
      </w:r>
      <w:r>
        <w:rPr>
          <w:rFonts w:hint="eastAsia" w:ascii="仿宋_GB2312"/>
          <w:lang w:val="en-US" w:eastAsia="zh-CN"/>
        </w:rPr>
        <w:t>21</w:t>
      </w:r>
      <w:r>
        <w:rPr>
          <w:rFonts w:hint="eastAsia" w:ascii="仿宋_GB2312"/>
        </w:rPr>
        <w:t>年的预算，并按规定对项目资金进行结余结转。20</w:t>
      </w:r>
      <w:r>
        <w:rPr>
          <w:rFonts w:hint="eastAsia" w:ascii="仿宋_GB2312"/>
          <w:lang w:val="en-US" w:eastAsia="zh-CN"/>
        </w:rPr>
        <w:t>21</w:t>
      </w:r>
      <w:r>
        <w:rPr>
          <w:rFonts w:hint="eastAsia" w:ascii="仿宋_GB2312"/>
        </w:rPr>
        <w:t>年项目结余结转资金</w:t>
      </w:r>
      <w:r>
        <w:rPr>
          <w:rFonts w:hint="eastAsia" w:ascii="仿宋_GB2312"/>
          <w:lang w:val="en-US" w:eastAsia="zh-CN"/>
        </w:rPr>
        <w:t>0</w:t>
      </w:r>
      <w:r>
        <w:rPr>
          <w:rFonts w:hint="eastAsia" w:ascii="仿宋_GB2312"/>
        </w:rPr>
        <w:t>万元。我会认真做好财政支出绩效评价工作，全面完成20</w:t>
      </w:r>
      <w:r>
        <w:rPr>
          <w:rFonts w:hint="eastAsia" w:ascii="仿宋_GB2312"/>
          <w:lang w:val="en-US" w:eastAsia="zh-CN"/>
        </w:rPr>
        <w:t>21</w:t>
      </w:r>
      <w:r>
        <w:rPr>
          <w:rFonts w:hint="eastAsia" w:ascii="仿宋_GB2312"/>
        </w:rPr>
        <w:t>年部门支出绩效的自评，专项资金预算细化到各经济科目，并按相应的经济科目进行开支。</w:t>
      </w:r>
    </w:p>
    <w:p>
      <w:pPr>
        <w:spacing w:line="560" w:lineRule="exact"/>
        <w:ind w:firstLine="640" w:firstLineChars="200"/>
        <w:rPr>
          <w:rFonts w:hint="eastAsia" w:ascii="仿宋_GB2312" w:hAnsi="宋体" w:cs="宋体"/>
          <w:bCs/>
          <w:color w:val="222222"/>
          <w:kern w:val="0"/>
        </w:rPr>
      </w:pPr>
      <w:r>
        <w:rPr>
          <w:rFonts w:hint="eastAsia" w:ascii="仿宋_GB2312"/>
          <w:kern w:val="0"/>
          <w:lang w:val="en-US" w:eastAsia="zh-CN"/>
        </w:rPr>
        <w:t>1.</w:t>
      </w:r>
      <w:r>
        <w:rPr>
          <w:rFonts w:hint="eastAsia" w:ascii="仿宋_GB2312" w:hAnsi="宋体" w:cs="宋体"/>
          <w:bCs/>
          <w:color w:val="222222"/>
          <w:kern w:val="0"/>
        </w:rPr>
        <w:t>预算编制情况</w:t>
      </w:r>
    </w:p>
    <w:p>
      <w:pPr>
        <w:spacing w:line="560" w:lineRule="exact"/>
        <w:ind w:left="19" w:firstLine="640" w:firstLineChars="200"/>
        <w:rPr>
          <w:rFonts w:hint="eastAsia" w:ascii="仿宋_GB2312" w:hAnsi="宋体" w:cs="宋体"/>
          <w:bCs/>
          <w:color w:val="222222"/>
          <w:kern w:val="0"/>
          <w:lang w:eastAsia="zh-CN"/>
        </w:rPr>
      </w:pPr>
      <w:r>
        <w:rPr>
          <w:rFonts w:hint="eastAsia" w:ascii="仿宋_GB2312" w:hAnsi="宋体" w:cs="宋体"/>
          <w:bCs/>
          <w:color w:val="222222"/>
          <w:kern w:val="0"/>
        </w:rPr>
        <w:t>（1）目标制定</w:t>
      </w:r>
      <w:r>
        <w:rPr>
          <w:rFonts w:hint="eastAsia" w:ascii="仿宋_GB2312" w:hAnsi="宋体" w:cs="宋体"/>
          <w:bCs/>
          <w:color w:val="222222"/>
          <w:kern w:val="0"/>
          <w:lang w:eastAsia="zh-CN"/>
        </w:rPr>
        <w:t>。</w:t>
      </w:r>
    </w:p>
    <w:p>
      <w:pPr>
        <w:spacing w:line="560" w:lineRule="exact"/>
        <w:ind w:left="19" w:firstLine="640" w:firstLineChars="200"/>
        <w:rPr>
          <w:rFonts w:hint="eastAsia" w:ascii="仿宋_GB2312" w:hAnsi="宋体" w:cs="宋体"/>
          <w:bCs/>
          <w:color w:val="222222"/>
          <w:kern w:val="0"/>
        </w:rPr>
      </w:pPr>
      <w:r>
        <w:rPr>
          <w:rFonts w:hint="eastAsia" w:ascii="仿宋_GB2312" w:hAnsi="宋体" w:cs="宋体"/>
          <w:bCs/>
          <w:color w:val="222222"/>
          <w:kern w:val="0"/>
        </w:rPr>
        <w:t>20</w:t>
      </w:r>
      <w:r>
        <w:rPr>
          <w:rFonts w:hint="eastAsia" w:ascii="仿宋_GB2312" w:hAnsi="宋体" w:cs="宋体"/>
          <w:bCs/>
          <w:color w:val="222222"/>
          <w:kern w:val="0"/>
          <w:lang w:val="en-US" w:eastAsia="zh-CN"/>
        </w:rPr>
        <w:t>21</w:t>
      </w:r>
      <w:r>
        <w:rPr>
          <w:rFonts w:hint="eastAsia" w:ascii="仿宋_GB2312" w:hAnsi="宋体" w:cs="宋体"/>
          <w:bCs/>
          <w:color w:val="222222"/>
          <w:kern w:val="0"/>
        </w:rPr>
        <w:t>年，市残联在编制部门预算时按要求填报了部门整体支出绩效目标以及100万元（含100万）以上的专用项目绩效目标。绩效目标的完成指标、效益指标及满意度指标三大要素完整，绩效目标设置量化、细化。</w:t>
      </w:r>
    </w:p>
    <w:p>
      <w:pPr>
        <w:numPr>
          <w:ilvl w:val="0"/>
          <w:numId w:val="7"/>
        </w:numPr>
        <w:spacing w:line="560" w:lineRule="exact"/>
        <w:ind w:firstLine="640" w:firstLineChars="200"/>
        <w:rPr>
          <w:rFonts w:hint="eastAsia" w:ascii="仿宋_GB2312" w:hAnsi="宋体" w:cs="宋体"/>
          <w:bCs/>
          <w:color w:val="222222"/>
          <w:kern w:val="0"/>
          <w:lang w:eastAsia="zh-CN"/>
        </w:rPr>
      </w:pPr>
      <w:r>
        <w:rPr>
          <w:rFonts w:hint="eastAsia" w:ascii="仿宋_GB2312" w:hAnsi="宋体" w:cs="宋体"/>
          <w:bCs/>
          <w:color w:val="222222"/>
          <w:kern w:val="0"/>
        </w:rPr>
        <w:t>目标实现</w:t>
      </w:r>
      <w:r>
        <w:rPr>
          <w:rFonts w:hint="eastAsia" w:ascii="仿宋_GB2312" w:hAnsi="宋体" w:cs="宋体"/>
          <w:bCs/>
          <w:color w:val="222222"/>
          <w:kern w:val="0"/>
          <w:lang w:eastAsia="zh-CN"/>
        </w:rPr>
        <w:t>。</w:t>
      </w:r>
    </w:p>
    <w:p>
      <w:pPr>
        <w:numPr>
          <w:ilvl w:val="0"/>
          <w:numId w:val="0"/>
        </w:numPr>
        <w:spacing w:line="560" w:lineRule="exact"/>
        <w:ind w:firstLine="640" w:firstLineChars="200"/>
        <w:rPr>
          <w:rFonts w:hint="eastAsia" w:ascii="仿宋_GB2312" w:hAnsi="宋体" w:cs="宋体"/>
          <w:bCs/>
          <w:color w:val="222222"/>
          <w:kern w:val="0"/>
        </w:rPr>
      </w:pPr>
      <w:r>
        <w:rPr>
          <w:rFonts w:hint="eastAsia" w:ascii="仿宋_GB2312" w:hAnsi="宋体" w:cs="宋体"/>
          <w:bCs/>
          <w:color w:val="222222"/>
          <w:kern w:val="0"/>
        </w:rPr>
        <w:t>20</w:t>
      </w:r>
      <w:r>
        <w:rPr>
          <w:rFonts w:hint="eastAsia" w:ascii="仿宋_GB2312" w:hAnsi="宋体" w:cs="宋体"/>
          <w:bCs/>
          <w:color w:val="222222"/>
          <w:kern w:val="0"/>
          <w:lang w:val="en-US" w:eastAsia="zh-CN"/>
        </w:rPr>
        <w:t>21</w:t>
      </w:r>
      <w:r>
        <w:rPr>
          <w:rFonts w:hint="eastAsia" w:ascii="仿宋_GB2312" w:hAnsi="宋体" w:cs="宋体"/>
          <w:bCs/>
          <w:color w:val="222222"/>
          <w:kern w:val="0"/>
        </w:rPr>
        <w:t>年设定绩效目标项目</w:t>
      </w:r>
      <w:r>
        <w:rPr>
          <w:rFonts w:hint="eastAsia" w:ascii="仿宋_GB2312" w:hAnsi="宋体" w:cs="宋体"/>
          <w:bCs/>
          <w:color w:val="222222"/>
          <w:kern w:val="0"/>
          <w:lang w:val="en-US" w:eastAsia="zh-CN"/>
        </w:rPr>
        <w:t>11</w:t>
      </w:r>
      <w:r>
        <w:rPr>
          <w:rFonts w:hint="eastAsia" w:ascii="仿宋_GB2312" w:hAnsi="宋体" w:cs="宋体"/>
          <w:bCs/>
          <w:color w:val="222222"/>
          <w:kern w:val="0"/>
        </w:rPr>
        <w:t>个，从数量完成指标设置情况来看，</w:t>
      </w:r>
      <w:r>
        <w:rPr>
          <w:rFonts w:hint="eastAsia" w:ascii="仿宋_GB2312" w:hAnsi="宋体" w:cs="宋体"/>
          <w:bCs/>
          <w:color w:val="222222"/>
          <w:kern w:val="0"/>
          <w:lang w:val="en-US" w:eastAsia="zh-CN"/>
        </w:rPr>
        <w:t>11</w:t>
      </w:r>
      <w:r>
        <w:rPr>
          <w:rFonts w:hint="eastAsia" w:ascii="仿宋_GB2312" w:hAnsi="宋体" w:cs="宋体"/>
          <w:bCs/>
          <w:color w:val="000000" w:themeColor="text1"/>
          <w:kern w:val="0"/>
          <w14:textFill>
            <w14:solidFill>
              <w14:schemeClr w14:val="tx1"/>
            </w14:solidFill>
          </w14:textFill>
        </w:rPr>
        <w:t>个项目全面完成</w:t>
      </w:r>
      <w:r>
        <w:rPr>
          <w:rFonts w:hint="eastAsia" w:ascii="仿宋_GB2312" w:hAnsi="宋体" w:cs="宋体"/>
          <w:bCs/>
          <w:color w:val="222222"/>
          <w:kern w:val="0"/>
        </w:rPr>
        <w:t>。</w:t>
      </w:r>
      <w:r>
        <w:rPr>
          <w:rFonts w:hint="eastAsia" w:ascii="仿宋_GB2312" w:hAnsi="宋体" w:cs="宋体"/>
          <w:bCs/>
          <w:color w:val="222222"/>
          <w:kern w:val="0"/>
        </w:rPr>
        <w:br w:type="textWrapping"/>
      </w:r>
      <w:r>
        <w:rPr>
          <w:rFonts w:hint="eastAsia" w:ascii="仿宋_GB2312" w:hAnsi="宋体" w:cs="宋体"/>
          <w:bCs/>
          <w:color w:val="222222"/>
          <w:kern w:val="0"/>
        </w:rPr>
        <w:t xml:space="preserve"> </w:t>
      </w:r>
      <w:r>
        <w:rPr>
          <w:rFonts w:hint="eastAsia" w:ascii="仿宋_GB2312" w:hAnsi="宋体" w:cs="宋体"/>
          <w:bCs/>
          <w:color w:val="222222"/>
          <w:kern w:val="0"/>
          <w:lang w:val="en-US" w:eastAsia="zh-CN"/>
        </w:rPr>
        <w:t xml:space="preserve">  </w:t>
      </w:r>
      <w:r>
        <w:rPr>
          <w:rFonts w:hint="eastAsia" w:ascii="仿宋_GB2312" w:hAnsi="宋体" w:cs="宋体"/>
          <w:bCs/>
          <w:color w:val="222222"/>
          <w:kern w:val="0"/>
        </w:rPr>
        <w:t>2.预算执行情况</w:t>
      </w:r>
    </w:p>
    <w:p>
      <w:pPr>
        <w:numPr>
          <w:ilvl w:val="0"/>
          <w:numId w:val="0"/>
        </w:numPr>
        <w:spacing w:line="560" w:lineRule="exact"/>
        <w:ind w:firstLine="640" w:firstLineChars="200"/>
        <w:rPr>
          <w:rFonts w:hint="eastAsia" w:ascii="仿宋_GB2312" w:hAnsi="仿宋" w:cs="仿宋_GB2312"/>
          <w:color w:val="000000"/>
          <w:lang w:eastAsia="zh-CN"/>
        </w:rPr>
      </w:pPr>
      <w:r>
        <w:rPr>
          <w:rFonts w:hint="eastAsia" w:ascii="仿宋_GB2312" w:hAnsi="仿宋" w:cs="仿宋_GB2312"/>
          <w:color w:val="000000"/>
          <w:lang w:eastAsia="zh-CN"/>
        </w:rPr>
        <w:t>按照</w:t>
      </w:r>
      <w:r>
        <w:rPr>
          <w:rFonts w:hint="eastAsia" w:ascii="仿宋_GB2312" w:hAnsi="仿宋" w:cs="仿宋_GB2312"/>
          <w:color w:val="000000"/>
        </w:rPr>
        <w:t>部门预算执行进度</w:t>
      </w:r>
      <w:r>
        <w:rPr>
          <w:rFonts w:hint="eastAsia" w:ascii="仿宋_GB2312" w:hAnsi="仿宋" w:cs="仿宋_GB2312"/>
          <w:color w:val="000000"/>
          <w:lang w:eastAsia="zh-CN"/>
        </w:rPr>
        <w:t>有序进行。</w:t>
      </w:r>
    </w:p>
    <w:p>
      <w:pPr>
        <w:numPr>
          <w:ilvl w:val="0"/>
          <w:numId w:val="0"/>
        </w:numPr>
        <w:spacing w:line="560" w:lineRule="exact"/>
        <w:ind w:firstLine="320" w:firstLineChars="100"/>
        <w:rPr>
          <w:rFonts w:hint="eastAsia" w:ascii="仿宋_GB2312" w:hAnsi="仿宋" w:cs="仿宋_GB2312"/>
          <w:color w:val="000000"/>
        </w:rPr>
      </w:pPr>
      <w:r>
        <w:rPr>
          <w:rFonts w:hint="eastAsia" w:ascii="仿宋_GB2312" w:hAnsi="仿宋" w:cs="仿宋_GB2312"/>
          <w:color w:val="000000"/>
          <w:lang w:val="en-US" w:eastAsia="zh-CN"/>
        </w:rPr>
        <w:t>3.</w:t>
      </w:r>
      <w:r>
        <w:rPr>
          <w:rFonts w:hint="eastAsia" w:ascii="仿宋_GB2312" w:hAnsi="仿宋" w:cs="仿宋_GB2312"/>
          <w:color w:val="000000"/>
        </w:rPr>
        <w:t>完成结果情况。</w:t>
      </w:r>
    </w:p>
    <w:p>
      <w:pPr>
        <w:spacing w:line="560" w:lineRule="exact"/>
        <w:ind w:firstLine="640" w:firstLineChars="200"/>
        <w:rPr>
          <w:rFonts w:hint="eastAsia" w:ascii="仿宋_GB2312" w:hAnsi="仿宋" w:cs="仿宋_GB2312"/>
          <w:color w:val="000000"/>
        </w:rPr>
      </w:pPr>
      <w:r>
        <w:rPr>
          <w:rFonts w:hint="eastAsia" w:ascii="仿宋_GB2312" w:hAnsi="仿宋" w:cs="仿宋_GB2312"/>
          <w:color w:val="000000"/>
        </w:rPr>
        <w:t>（1）预算完成。</w:t>
      </w:r>
    </w:p>
    <w:p>
      <w:pPr>
        <w:spacing w:line="560" w:lineRule="exact"/>
        <w:ind w:firstLine="640" w:firstLineChars="200"/>
        <w:rPr>
          <w:rFonts w:hint="eastAsia" w:ascii="仿宋_GB2312" w:hAnsi="仿宋" w:cs="仿宋_GB2312"/>
          <w:color w:val="000000"/>
        </w:rPr>
      </w:pPr>
      <w:r>
        <w:rPr>
          <w:rFonts w:hint="eastAsia" w:ascii="仿宋_GB2312" w:hAnsi="仿宋" w:cs="仿宋_GB2312"/>
          <w:color w:val="000000"/>
        </w:rPr>
        <w:t>市残联1-12月预算数为</w:t>
      </w:r>
      <w:r>
        <w:rPr>
          <w:rFonts w:hint="eastAsia" w:ascii="仿宋_GB2312" w:hAnsi="仿宋" w:cs="仿宋_GB2312"/>
          <w:color w:val="000000"/>
          <w:lang w:val="en-US" w:eastAsia="zh-CN"/>
        </w:rPr>
        <w:t>1048.17</w:t>
      </w:r>
      <w:r>
        <w:rPr>
          <w:rFonts w:hint="eastAsia" w:ascii="仿宋_GB2312" w:hAnsi="仿宋" w:cs="仿宋_GB2312"/>
          <w:color w:val="000000"/>
        </w:rPr>
        <w:t>万元，执行数为</w:t>
      </w:r>
      <w:r>
        <w:rPr>
          <w:rFonts w:hint="eastAsia" w:ascii="仿宋_GB2312" w:hAnsi="仿宋" w:cs="仿宋_GB2312"/>
          <w:color w:val="000000"/>
          <w:lang w:val="en-US" w:eastAsia="zh-CN"/>
        </w:rPr>
        <w:t>1324.88</w:t>
      </w:r>
      <w:r>
        <w:rPr>
          <w:rFonts w:hint="eastAsia" w:ascii="仿宋_GB2312" w:hAnsi="仿宋" w:cs="仿宋_GB2312"/>
          <w:color w:val="000000"/>
        </w:rPr>
        <w:t>万元，</w:t>
      </w:r>
      <w:r>
        <w:rPr>
          <w:rFonts w:hint="eastAsia" w:ascii="仿宋_GB2312" w:hAnsi="仿宋" w:cs="仿宋_GB2312"/>
          <w:color w:val="000000"/>
          <w:lang w:eastAsia="zh-CN"/>
        </w:rPr>
        <w:t>执行</w:t>
      </w:r>
      <w:r>
        <w:rPr>
          <w:rFonts w:hint="eastAsia" w:ascii="仿宋_GB2312" w:hAnsi="仿宋" w:cs="仿宋_GB2312"/>
          <w:color w:val="000000"/>
        </w:rPr>
        <w:t>进度为</w:t>
      </w:r>
      <w:r>
        <w:rPr>
          <w:rFonts w:hint="eastAsia" w:ascii="仿宋_GB2312" w:hAnsi="仿宋" w:cs="仿宋_GB2312"/>
          <w:color w:val="000000"/>
          <w:lang w:val="en-US" w:eastAsia="zh-CN"/>
        </w:rPr>
        <w:t>126.4%</w:t>
      </w:r>
      <w:r>
        <w:rPr>
          <w:rFonts w:hint="eastAsia" w:ascii="仿宋_GB2312" w:hAnsi="仿宋" w:cs="仿宋_GB2312"/>
          <w:color w:val="000000"/>
        </w:rPr>
        <w:t>。</w:t>
      </w:r>
    </w:p>
    <w:p>
      <w:pPr>
        <w:numPr>
          <w:ilvl w:val="0"/>
          <w:numId w:val="0"/>
        </w:numPr>
        <w:spacing w:line="560" w:lineRule="exact"/>
        <w:ind w:firstLine="640" w:firstLineChars="200"/>
        <w:rPr>
          <w:rFonts w:hint="eastAsia" w:ascii="仿宋_GB2312" w:hAnsi="仿宋" w:cs="仿宋_GB2312"/>
          <w:color w:val="000000"/>
        </w:rPr>
      </w:pPr>
      <w:r>
        <w:rPr>
          <w:rFonts w:hint="eastAsia" w:ascii="仿宋_GB2312" w:hAnsi="仿宋" w:cs="仿宋_GB2312"/>
          <w:color w:val="000000"/>
          <w:lang w:eastAsia="zh-CN"/>
        </w:rPr>
        <w:t>（</w:t>
      </w:r>
      <w:r>
        <w:rPr>
          <w:rFonts w:hint="eastAsia" w:ascii="仿宋_GB2312" w:hAnsi="仿宋" w:cs="仿宋_GB2312"/>
          <w:color w:val="000000"/>
          <w:lang w:val="en-US" w:eastAsia="zh-CN"/>
        </w:rPr>
        <w:t>2</w:t>
      </w:r>
      <w:r>
        <w:rPr>
          <w:rFonts w:hint="eastAsia" w:ascii="仿宋_GB2312" w:hAnsi="仿宋" w:cs="仿宋_GB2312"/>
          <w:color w:val="000000"/>
          <w:lang w:eastAsia="zh-CN"/>
        </w:rPr>
        <w:t>）</w:t>
      </w:r>
      <w:r>
        <w:rPr>
          <w:rFonts w:hint="eastAsia" w:ascii="仿宋_GB2312" w:hAnsi="仿宋" w:cs="仿宋_GB2312"/>
          <w:color w:val="000000"/>
        </w:rPr>
        <w:t>违规记录。</w:t>
      </w:r>
    </w:p>
    <w:p>
      <w:pPr>
        <w:numPr>
          <w:ilvl w:val="0"/>
          <w:numId w:val="0"/>
        </w:numPr>
        <w:spacing w:line="560" w:lineRule="exact"/>
        <w:ind w:firstLine="640" w:firstLineChars="200"/>
        <w:rPr>
          <w:rFonts w:hint="eastAsia" w:ascii="仿宋_GB2312"/>
          <w:lang w:val="zh-CN"/>
        </w:rPr>
      </w:pPr>
      <w:r>
        <w:rPr>
          <w:rFonts w:hint="eastAsia" w:ascii="仿宋_GB2312" w:hAnsi="仿宋" w:cs="仿宋_GB2312"/>
          <w:color w:val="000000"/>
        </w:rPr>
        <w:t>市残联20</w:t>
      </w:r>
      <w:r>
        <w:rPr>
          <w:rFonts w:hint="eastAsia" w:ascii="仿宋_GB2312" w:hAnsi="仿宋" w:cs="仿宋_GB2312"/>
          <w:color w:val="000000"/>
          <w:lang w:val="en-US" w:eastAsia="zh-CN"/>
        </w:rPr>
        <w:t>21</w:t>
      </w:r>
      <w:r>
        <w:rPr>
          <w:rFonts w:hint="eastAsia" w:ascii="仿宋_GB2312" w:hAnsi="仿宋" w:cs="仿宋_GB2312"/>
          <w:color w:val="000000"/>
        </w:rPr>
        <w:t>年度未出现预算管理方面违纪违规问题。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绩效自评公开</w:t>
      </w:r>
      <w:r>
        <w:rPr>
          <w:rFonts w:hint="eastAsia" w:ascii="仿宋_GB2312" w:hAnsi="宋体" w:cs="宋体"/>
          <w:color w:val="000000"/>
          <w:kern w:val="0"/>
          <w:sz w:val="32"/>
          <w:szCs w:val="32"/>
          <w:shd w:val="clear" w:color="auto" w:fill="FFFFFF"/>
          <w:lang w:val="zh-CN"/>
        </w:rPr>
        <w:t>。</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cs="仿宋"/>
        </w:rPr>
        <w:t>20</w:t>
      </w:r>
      <w:r>
        <w:rPr>
          <w:rFonts w:hint="eastAsia" w:ascii="仿宋_GB2312" w:hAnsi="仿宋" w:cs="仿宋"/>
          <w:lang w:val="en-US" w:eastAsia="zh-CN"/>
        </w:rPr>
        <w:t>21</w:t>
      </w:r>
      <w:r>
        <w:rPr>
          <w:rFonts w:hint="eastAsia" w:ascii="仿宋_GB2312" w:hAnsi="仿宋" w:cs="仿宋"/>
        </w:rPr>
        <w:t>年，市残联按规定在市政府门户网站集约化平台对外公开了20</w:t>
      </w:r>
      <w:r>
        <w:rPr>
          <w:rFonts w:hint="eastAsia" w:ascii="仿宋_GB2312" w:hAnsi="仿宋" w:cs="仿宋"/>
          <w:lang w:val="en-US" w:eastAsia="zh-CN"/>
        </w:rPr>
        <w:t>20</w:t>
      </w:r>
      <w:r>
        <w:rPr>
          <w:rFonts w:hint="eastAsia" w:ascii="仿宋_GB2312" w:hAnsi="仿宋" w:cs="仿宋"/>
        </w:rPr>
        <w:t>年度部门决算情况。</w:t>
      </w:r>
    </w:p>
    <w:p>
      <w:pPr>
        <w:widowControl/>
        <w:numPr>
          <w:ilvl w:val="0"/>
          <w:numId w:val="0"/>
        </w:numPr>
        <w:adjustRightInd w:val="0"/>
        <w:snapToGrid w:val="0"/>
        <w:spacing w:line="580" w:lineRule="exact"/>
        <w:ind w:firstLine="640" w:firstLineChars="200"/>
        <w:contextualSpacing/>
        <w:jc w:val="left"/>
        <w:rPr>
          <w:rFonts w:hint="eastAsia" w:ascii="仿宋_GB2312" w:hAnsi="仿宋" w:cs="仿宋"/>
        </w:rPr>
      </w:pPr>
      <w:r>
        <w:rPr>
          <w:rFonts w:hint="eastAsia" w:ascii="仿宋_GB2312" w:hAnsi="仿宋" w:cs="仿宋"/>
          <w:lang w:val="en-US" w:eastAsia="zh-CN"/>
        </w:rPr>
        <w:t>2.</w:t>
      </w:r>
      <w:r>
        <w:rPr>
          <w:rFonts w:hint="eastAsia" w:ascii="仿宋_GB2312" w:hAnsi="仿宋" w:cs="仿宋"/>
        </w:rPr>
        <w:t>评价结果整改。</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cs="仿宋"/>
        </w:rPr>
        <w:t>市残联针对绩效管理过程中所产生的问题，积极整改，内部规范本单位各下属单位及各科室预算编制的过程、考核其预算执行的进度等，并及时完善相应的政策。</w:t>
      </w:r>
    </w:p>
    <w:p>
      <w:pPr>
        <w:widowControl/>
        <w:numPr>
          <w:ilvl w:val="0"/>
          <w:numId w:val="0"/>
        </w:numPr>
        <w:adjustRightInd w:val="0"/>
        <w:snapToGrid w:val="0"/>
        <w:spacing w:line="580" w:lineRule="exact"/>
        <w:ind w:leftChars="200"/>
        <w:contextualSpacing/>
        <w:jc w:val="left"/>
        <w:rPr>
          <w:rFonts w:hint="eastAsia" w:ascii="仿宋_GB2312" w:hAnsi="仿宋" w:cs="仿宋"/>
        </w:rPr>
      </w:pPr>
      <w:r>
        <w:rPr>
          <w:rFonts w:hint="eastAsia" w:ascii="仿宋_GB2312" w:hAnsi="仿宋" w:cs="仿宋"/>
          <w:lang w:val="en-US" w:eastAsia="zh-CN"/>
        </w:rPr>
        <w:t>3.</w:t>
      </w:r>
      <w:r>
        <w:rPr>
          <w:rFonts w:hint="eastAsia" w:ascii="仿宋_GB2312" w:hAnsi="仿宋" w:cs="仿宋"/>
        </w:rPr>
        <w:t>应用反馈。</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cs="仿宋"/>
        </w:rPr>
        <w:t>市残联在规定的时间内向财政局反馈应用结果报告。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rPr>
        <w:t>整体支出绩效评价优良，所有支出全部纳入绩效评价。通过资金使用，达到预期效果，保证了各项工作任务的完成，不存在资金的浪费和挪用的情况，部分项目预算资金进行调整使用。</w:t>
      </w:r>
    </w:p>
    <w:p>
      <w:pPr>
        <w:widowControl/>
        <w:adjustRightInd w:val="0"/>
        <w:snapToGrid w:val="0"/>
        <w:spacing w:line="580" w:lineRule="exact"/>
        <w:ind w:firstLine="643"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w:t>
      </w:r>
      <w:r>
        <w:rPr>
          <w:rFonts w:hint="eastAsia" w:ascii="楷体_GB2312" w:hAnsi="楷体_GB2312" w:eastAsia="楷体_GB2312" w:cs="楷体_GB2312"/>
          <w:b/>
          <w:bCs/>
          <w:color w:val="000000"/>
          <w:kern w:val="0"/>
          <w:sz w:val="32"/>
          <w:szCs w:val="32"/>
          <w:shd w:val="clear" w:color="auto" w:fill="FFFFFF"/>
          <w:lang w:val="en-US" w:eastAsia="zh-CN"/>
        </w:rPr>
        <w:t>二</w:t>
      </w:r>
      <w:r>
        <w:rPr>
          <w:rFonts w:hint="eastAsia" w:ascii="楷体_GB2312" w:hAnsi="楷体_GB2312" w:eastAsia="楷体_GB2312" w:cs="楷体_GB2312"/>
          <w:b/>
          <w:bCs/>
          <w:color w:val="000000"/>
          <w:kern w:val="0"/>
          <w:sz w:val="32"/>
          <w:szCs w:val="32"/>
          <w:shd w:val="clear" w:color="auto" w:fill="FFFFFF"/>
          <w:lang w:val="zh-CN"/>
        </w:rPr>
        <w:t>）存在问题。</w:t>
      </w:r>
    </w:p>
    <w:p>
      <w:pPr>
        <w:widowControl/>
        <w:adjustRightInd w:val="0"/>
        <w:snapToGrid w:val="0"/>
        <w:spacing w:line="570" w:lineRule="exact"/>
        <w:ind w:firstLine="640" w:firstLineChars="200"/>
        <w:jc w:val="left"/>
        <w:rPr>
          <w:rFonts w:hint="eastAsia" w:ascii="仿宋_GB2312"/>
        </w:rPr>
      </w:pPr>
      <w:r>
        <w:rPr>
          <w:rFonts w:hint="eastAsia" w:ascii="仿宋_GB2312"/>
        </w:rPr>
        <w:t>1.专项资金存在执行进度略微偏低的问题。</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rPr>
        <w:t>2.绩效目标质量管理有待进一步加强。存在个别项目绩效目标设置量化、细化程度不够，部分绩效目标完成指标缺乏明确的业务数据支撑，评价依据和评价标准不够明确。</w:t>
      </w:r>
      <w:r>
        <w:rPr>
          <w:rFonts w:hint="eastAsia" w:ascii="仿宋_GB2312"/>
        </w:rPr>
        <w:br w:type="textWrapping"/>
      </w:r>
      <w:r>
        <w:rPr>
          <w:rFonts w:hint="eastAsia" w:ascii="仿宋_GB2312"/>
        </w:rPr>
        <w:t xml:space="preserve">    3.绩效监控不够。预算和绩效目标调整不及时，导致部分项目虽完成业务工作，由于预算和绩效目标未调整，致使整体绩效目标未能完成。</w:t>
      </w:r>
      <w:r>
        <w:rPr>
          <w:rFonts w:hint="eastAsia" w:ascii="仿宋_GB2312"/>
        </w:rPr>
        <w:br w:type="textWrapping"/>
      </w:r>
      <w:r>
        <w:rPr>
          <w:rFonts w:hint="eastAsia" w:ascii="仿宋_GB2312"/>
        </w:rPr>
        <w:t xml:space="preserve">    4.对预算需求调查不够充分。事前评估不够，导致项目年内无法实施，同时应用绩效监控结果指导预算调整的情况欠佳，绩效监控调整作用较弱，动态管理不够到位，出现到年底未执行项目。</w:t>
      </w:r>
    </w:p>
    <w:p>
      <w:pPr>
        <w:widowControl/>
        <w:adjustRightInd w:val="0"/>
        <w:snapToGrid w:val="0"/>
        <w:spacing w:line="580" w:lineRule="exact"/>
        <w:ind w:firstLine="643"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p>
    <w:p>
      <w:pPr>
        <w:widowControl/>
        <w:adjustRightInd w:val="0"/>
        <w:snapToGrid w:val="0"/>
        <w:spacing w:line="570" w:lineRule="exact"/>
        <w:ind w:firstLine="640" w:firstLineChars="200"/>
        <w:jc w:val="left"/>
        <w:rPr>
          <w:rFonts w:hint="eastAsia" w:ascii="仿宋_GB2312"/>
        </w:rPr>
      </w:pPr>
      <w:r>
        <w:rPr>
          <w:rFonts w:hint="eastAsia" w:ascii="仿宋_GB2312"/>
        </w:rPr>
        <w:t>1.提高预算管理水平，加快支出执行进度。一是充分了解预算需求，合理安排支出结构，提高预算编制的准确度。同时，积极应用绩效监控结果指导预算调整，增强预算编制与预算执行的一致性，提升预算精细化管理水平。二是作好预算支出总体安排，建立和完善预算执行情况的分析、监督、信息反馈机制，及时响应加大力度推进预算执行进度。</w:t>
      </w:r>
    </w:p>
    <w:p>
      <w:pPr>
        <w:widowControl/>
        <w:adjustRightInd w:val="0"/>
        <w:snapToGrid w:val="0"/>
        <w:spacing w:line="570" w:lineRule="exact"/>
        <w:ind w:firstLine="640" w:firstLineChars="200"/>
        <w:jc w:val="left"/>
        <w:rPr>
          <w:rFonts w:hint="eastAsia" w:ascii="仿宋_GB2312"/>
        </w:rPr>
      </w:pPr>
      <w:r>
        <w:rPr>
          <w:rFonts w:hint="eastAsia" w:ascii="仿宋_GB2312"/>
        </w:rPr>
        <w:t>2.细化绩效目标管理，建立动态管理机制。一是进一步细化、量化绩效目标编制。财务室与各业务科（室）深度衔接、紧密配合，在项目实施前，结合自身业务特性，设置科学合理、针对性强、便于考核的绩效目标。二是加强项目实施过程控制，建立绩效目标动态管理机制。</w:t>
      </w:r>
    </w:p>
    <w:p>
      <w:pPr>
        <w:widowControl/>
        <w:adjustRightInd w:val="0"/>
        <w:snapToGrid w:val="0"/>
        <w:spacing w:line="570" w:lineRule="exact"/>
        <w:ind w:firstLine="640" w:firstLineChars="200"/>
        <w:jc w:val="left"/>
        <w:rPr>
          <w:rFonts w:hint="eastAsia" w:ascii="仿宋_GB2312"/>
        </w:rPr>
      </w:pPr>
      <w:r>
        <w:rPr>
          <w:rFonts w:hint="eastAsia" w:ascii="仿宋_GB2312"/>
        </w:rPr>
        <w:t>3.抓住重点项目关键环节，扎实推进项目实施。大力督促市残疾人康复中心建设进度，切实解决影响项目进度的关键问题，加强工程资料收集汇总，做好竣工决算和项目财评工作。</w:t>
      </w:r>
    </w:p>
    <w:p>
      <w:pPr>
        <w:spacing w:line="580" w:lineRule="exact"/>
        <w:ind w:firstLine="640" w:firstLineChars="200"/>
        <w:rPr>
          <w:rFonts w:ascii="仿宋_GB2312" w:hAnsi="仿宋_GB2312" w:eastAsia="仿宋_GB2312" w:cs="仿宋_GB2312"/>
          <w:sz w:val="32"/>
          <w:szCs w:val="32"/>
        </w:rPr>
      </w:pPr>
      <w:r>
        <w:rPr>
          <w:rFonts w:hint="eastAsia" w:ascii="仿宋_GB2312"/>
        </w:rPr>
        <w:t>4.凝心聚力共同做好政府采购工作。大力提升部门政府采购人员政策水平，加强对业务科（室）政府采购工作的指导和帮助，齐心协力科学规范开展政府采购活动。</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4"/>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spacing w:line="580" w:lineRule="exact"/>
        <w:outlineLvl w:val="1"/>
        <w:rPr>
          <w:rFonts w:ascii="仿宋_GB2312" w:hAnsi="仿宋_GB2312" w:eastAsia="仿宋_GB2312" w:cs="仿宋_GB2312"/>
          <w:sz w:val="32"/>
          <w:szCs w:val="32"/>
        </w:rPr>
      </w:pPr>
      <w:bookmarkStart w:id="62" w:name="_Toc11602"/>
      <w:r>
        <w:rPr>
          <w:rFonts w:hint="eastAsia" w:ascii="黑体" w:hAnsi="黑体" w:eastAsia="黑体" w:cs="黑体"/>
          <w:sz w:val="32"/>
          <w:szCs w:val="32"/>
        </w:rPr>
        <w:t>附件</w:t>
      </w:r>
      <w:r>
        <w:rPr>
          <w:rFonts w:ascii="黑体" w:hAnsi="黑体" w:eastAsia="黑体" w:cs="黑体"/>
          <w:sz w:val="32"/>
          <w:szCs w:val="32"/>
        </w:rPr>
        <w:t>2</w:t>
      </w:r>
      <w:bookmarkEnd w:id="62"/>
    </w:p>
    <w:p>
      <w:pPr>
        <w:spacing w:line="580" w:lineRule="exact"/>
        <w:ind w:firstLine="640" w:firstLineChars="200"/>
        <w:rPr>
          <w:rFonts w:ascii="仿宋_GB2312" w:hAnsi="仿宋_GB2312" w:eastAsia="仿宋_GB2312" w:cs="仿宋_GB2312"/>
          <w:sz w:val="32"/>
          <w:szCs w:val="32"/>
        </w:rPr>
      </w:pPr>
    </w:p>
    <w:p>
      <w:pPr>
        <w:keepNext w:val="0"/>
        <w:keepLines w:val="0"/>
        <w:widowControl w:val="0"/>
        <w:suppressLineNumbers w:val="0"/>
        <w:spacing w:before="0" w:beforeAutospacing="0" w:after="0" w:afterAutospacing="0" w:line="580" w:lineRule="exact"/>
        <w:ind w:left="0" w:right="0"/>
        <w:jc w:val="both"/>
        <w:rPr>
          <w:rFonts w:eastAsia="宋体"/>
          <w:sz w:val="30"/>
          <w:szCs w:val="30"/>
          <w:lang w:val="en-US"/>
        </w:rPr>
      </w:pPr>
    </w:p>
    <w:p>
      <w:pPr>
        <w:pStyle w:val="21"/>
        <w:widowControl/>
        <w:spacing w:line="580" w:lineRule="exact"/>
        <w:ind w:left="0" w:firstLine="883"/>
        <w:jc w:val="center"/>
        <w:rPr>
          <w:rFonts w:hint="default" w:ascii="Times New Roman" w:hAnsi="Times New Roman" w:eastAsia="仿宋_GB2312" w:cs="Times New Roman"/>
          <w:color w:val="auto"/>
          <w:kern w:val="2"/>
          <w:sz w:val="32"/>
          <w:szCs w:val="32"/>
        </w:rPr>
      </w:pPr>
      <w:r>
        <w:rPr>
          <w:rFonts w:hint="eastAsia" w:ascii="Times New Roman" w:hAnsi="Times New Roman" w:eastAsia="方正小标宋简体" w:cs="方正小标宋简体"/>
          <w:sz w:val="44"/>
          <w:szCs w:val="44"/>
        </w:rPr>
        <w:t>项目支出绩效自评报告</w:t>
      </w:r>
    </w:p>
    <w:p>
      <w:pPr>
        <w:keepNext w:val="0"/>
        <w:keepLines w:val="0"/>
        <w:widowControl w:val="0"/>
        <w:suppressLineNumbers w:val="0"/>
        <w:spacing w:before="0" w:beforeAutospacing="0" w:after="0" w:afterAutospacing="0" w:line="580" w:lineRule="exact"/>
        <w:ind w:left="0" w:right="0"/>
        <w:jc w:val="center"/>
        <w:rPr>
          <w:lang w:val="en-US"/>
        </w:rPr>
      </w:pPr>
      <w:r>
        <w:rPr>
          <w:rFonts w:hint="eastAsia" w:ascii="Times New Roman" w:hAnsi="Times New Roman" w:eastAsia="仿宋_GB2312" w:cs="仿宋_GB2312"/>
          <w:kern w:val="2"/>
          <w:sz w:val="32"/>
          <w:szCs w:val="24"/>
          <w:lang w:val="en-US" w:eastAsia="zh-CN" w:bidi="ar"/>
        </w:rPr>
        <w:t>（</w:t>
      </w:r>
      <w:r>
        <w:rPr>
          <w:rStyle w:val="15"/>
          <w:rFonts w:hint="default" w:ascii="Times New Roman" w:hAnsi="Times New Roman" w:eastAsia="仿宋_GB2312" w:cs="Times New Roman"/>
          <w:b w:val="0"/>
          <w:i w:val="0"/>
          <w:caps w:val="0"/>
          <w:spacing w:val="0"/>
          <w:w w:val="100"/>
          <w:kern w:val="2"/>
          <w:sz w:val="32"/>
          <w:szCs w:val="24"/>
          <w:lang w:val="en-US" w:eastAsia="zh-CN"/>
        </w:rPr>
        <w:t>残疾人康复</w:t>
      </w:r>
      <w:r>
        <w:rPr>
          <w:rFonts w:hint="eastAsia" w:ascii="Times New Roman" w:hAnsi="Times New Roman" w:eastAsia="仿宋_GB2312" w:cs="仿宋_GB2312"/>
          <w:kern w:val="2"/>
          <w:sz w:val="32"/>
          <w:szCs w:val="24"/>
          <w:lang w:val="en-US" w:eastAsia="zh-CN" w:bidi="ar"/>
        </w:rPr>
        <w:t>项目）</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eastAsia="黑体"/>
          <w:lang w:val="zh-CN" w:eastAsia="zh-CN"/>
        </w:rPr>
      </w:pPr>
      <w:r>
        <w:rPr>
          <w:rFonts w:hint="eastAsia" w:ascii="Times New Roman" w:hAnsi="Times New Roman" w:eastAsia="黑体" w:cs="黑体"/>
          <w:kern w:val="2"/>
          <w:sz w:val="32"/>
          <w:szCs w:val="24"/>
          <w:lang w:val="en-US" w:eastAsia="zh-CN" w:bidi="ar"/>
        </w:rPr>
        <w:t>一、</w:t>
      </w:r>
      <w:r>
        <w:rPr>
          <w:rFonts w:hint="eastAsia" w:ascii="Times New Roman" w:hAnsi="Times New Roman" w:eastAsia="黑体" w:cs="黑体"/>
          <w:kern w:val="2"/>
          <w:sz w:val="32"/>
          <w:szCs w:val="24"/>
          <w:lang w:val="zh-CN" w:eastAsia="zh-CN" w:bidi="ar"/>
        </w:rPr>
        <w:t>项目概况</w:t>
      </w:r>
    </w:p>
    <w:p>
      <w:pPr>
        <w:snapToGrid w:val="0"/>
        <w:spacing w:before="0" w:beforeAutospacing="0" w:after="0" w:afterAutospacing="0" w:line="560" w:lineRule="exact"/>
        <w:ind w:right="0" w:firstLine="640" w:firstLineChars="200"/>
        <w:jc w:val="both"/>
        <w:textAlignment w:val="baseline"/>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（一）项目资金申报及批复情况。</w:t>
      </w:r>
    </w:p>
    <w:p>
      <w:pPr>
        <w:snapToGrid w:val="0"/>
        <w:spacing w:before="0" w:beforeAutospacing="0" w:after="0" w:afterAutospacing="0" w:line="560" w:lineRule="exact"/>
        <w:ind w:right="0" w:firstLine="640" w:firstLineChars="200"/>
        <w:jc w:val="both"/>
        <w:textAlignment w:val="baseline"/>
        <w:rPr>
          <w:rStyle w:val="15"/>
          <w:rFonts w:hint="default" w:ascii="Times New Roman" w:hAnsi="Times New Roman" w:eastAsia="仿宋_GB2312" w:cs="Times New Roman"/>
          <w:b w:val="0"/>
          <w:bCs/>
          <w:i w:val="0"/>
          <w:caps w:val="0"/>
          <w:color w:val="000000"/>
          <w:spacing w:val="0"/>
          <w:w w:val="100"/>
          <w:kern w:val="0"/>
          <w:sz w:val="32"/>
          <w:szCs w:val="24"/>
          <w:lang w:val="en-US" w:eastAsia="zh-CN" w:bidi="ar-SA"/>
        </w:rPr>
      </w:pPr>
      <w:r>
        <w:rPr>
          <w:rStyle w:val="15"/>
          <w:rFonts w:hint="default" w:ascii="Times New Roman" w:hAnsi="Times New Roman" w:eastAsia="仿宋_GB2312" w:cs="Times New Roman"/>
          <w:b w:val="0"/>
          <w:bCs/>
          <w:i w:val="0"/>
          <w:caps w:val="0"/>
          <w:spacing w:val="0"/>
          <w:w w:val="100"/>
          <w:kern w:val="2"/>
          <w:sz w:val="32"/>
          <w:szCs w:val="24"/>
          <w:lang w:val="en-US" w:eastAsia="zh-CN" w:bidi="ar-SA"/>
        </w:rPr>
        <w:t>项目资金根据《中华人民共和国预算法》</w:t>
      </w:r>
      <w:r>
        <w:rPr>
          <w:rStyle w:val="15"/>
          <w:rFonts w:hint="default" w:ascii="Times New Roman" w:hAnsi="Times New Roman" w:eastAsia="仿宋_GB2312" w:cs="Times New Roman"/>
          <w:b w:val="0"/>
          <w:i w:val="0"/>
          <w:caps w:val="0"/>
          <w:spacing w:val="0"/>
          <w:w w:val="100"/>
          <w:kern w:val="2"/>
          <w:sz w:val="32"/>
          <w:szCs w:val="24"/>
          <w:lang w:val="en-US" w:eastAsia="zh-CN" w:bidi="ar-SA"/>
        </w:rPr>
        <w:t>、</w:t>
      </w:r>
      <w:r>
        <w:rPr>
          <w:rStyle w:val="15"/>
          <w:rFonts w:hint="default" w:ascii="Times New Roman" w:hAnsi="Times New Roman" w:eastAsia="仿宋_GB2312" w:cs="Times New Roman"/>
          <w:b w:val="0"/>
          <w:i w:val="0"/>
          <w:caps w:val="0"/>
          <w:color w:val="000000"/>
          <w:spacing w:val="0"/>
          <w:w w:val="100"/>
          <w:kern w:val="2"/>
          <w:sz w:val="32"/>
          <w:szCs w:val="24"/>
          <w:lang w:val="en-US" w:eastAsia="zh-CN" w:bidi="ar-SA"/>
        </w:rPr>
        <w:t>《</w:t>
      </w:r>
      <w:r>
        <w:rPr>
          <w:rStyle w:val="14"/>
          <w:rFonts w:hint="default" w:ascii="Times New Roman" w:hAnsi="Times New Roman" w:eastAsia="仿宋_GB2312" w:cs="Times New Roman"/>
          <w:b w:val="0"/>
          <w:bCs/>
          <w:i w:val="0"/>
          <w:caps w:val="0"/>
          <w:color w:val="000000"/>
          <w:spacing w:val="0"/>
          <w:w w:val="100"/>
          <w:kern w:val="2"/>
          <w:sz w:val="32"/>
          <w:szCs w:val="24"/>
          <w:lang w:val="en-US" w:eastAsia="zh-CN" w:bidi="ar-SA"/>
        </w:rPr>
        <w:t>四川省财政厅关于进一步加强预算绩效目标和绩效运行监控管理的通知</w:t>
      </w:r>
      <w:r>
        <w:rPr>
          <w:rStyle w:val="15"/>
          <w:rFonts w:hint="default" w:ascii="Times New Roman" w:hAnsi="Times New Roman" w:eastAsia="仿宋_GB2312" w:cs="Times New Roman"/>
          <w:b w:val="0"/>
          <w:i w:val="0"/>
          <w:caps w:val="0"/>
          <w:color w:val="000000"/>
          <w:spacing w:val="0"/>
          <w:w w:val="100"/>
          <w:kern w:val="2"/>
          <w:sz w:val="32"/>
          <w:szCs w:val="24"/>
          <w:lang w:val="en-US" w:eastAsia="zh-CN" w:bidi="ar-SA"/>
        </w:rPr>
        <w:t>》</w:t>
      </w:r>
      <w:r>
        <w:rPr>
          <w:rStyle w:val="14"/>
          <w:rFonts w:hint="default" w:ascii="Times New Roman" w:hAnsi="Times New Roman" w:eastAsia="仿宋_GB2312" w:cs="Times New Roman"/>
          <w:b w:val="0"/>
          <w:bCs/>
          <w:i w:val="0"/>
          <w:caps w:val="0"/>
          <w:color w:val="000000"/>
          <w:spacing w:val="0"/>
          <w:w w:val="100"/>
          <w:kern w:val="2"/>
          <w:sz w:val="32"/>
          <w:szCs w:val="24"/>
          <w:lang w:val="en-US" w:eastAsia="zh-CN" w:bidi="ar-SA"/>
        </w:rPr>
        <w:t>、《自贡市市级预算绩效目标管理办法》</w:t>
      </w:r>
      <w:r>
        <w:rPr>
          <w:rStyle w:val="15"/>
          <w:rFonts w:hint="default" w:ascii="Times New Roman" w:hAnsi="Times New Roman" w:eastAsia="仿宋_GB2312" w:cs="Times New Roman"/>
          <w:b w:val="0"/>
          <w:bCs/>
          <w:i w:val="0"/>
          <w:caps w:val="0"/>
          <w:color w:val="000000"/>
          <w:spacing w:val="0"/>
          <w:w w:val="100"/>
          <w:kern w:val="0"/>
          <w:sz w:val="32"/>
          <w:szCs w:val="24"/>
          <w:lang w:val="en-US" w:eastAsia="zh-CN" w:bidi="ar-SA"/>
        </w:rPr>
        <w:t>等相关法律制度规定，立项和申报资金。</w:t>
      </w:r>
    </w:p>
    <w:p>
      <w:pPr>
        <w:numPr>
          <w:ilvl w:val="0"/>
          <w:numId w:val="8"/>
        </w:numPr>
        <w:snapToGrid w:val="0"/>
        <w:spacing w:before="0" w:beforeAutospacing="0" w:after="0" w:afterAutospacing="0" w:line="560" w:lineRule="exact"/>
        <w:ind w:left="0" w:leftChars="0" w:right="0" w:firstLine="720" w:firstLineChars="0"/>
        <w:jc w:val="both"/>
        <w:textAlignment w:val="baseline"/>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项目绩效目标。</w:t>
      </w:r>
    </w:p>
    <w:p>
      <w:pPr>
        <w:numPr>
          <w:ilvl w:val="0"/>
          <w:numId w:val="0"/>
        </w:numPr>
        <w:snapToGrid w:val="0"/>
        <w:spacing w:before="0" w:beforeAutospacing="0" w:after="0" w:afterAutospacing="0" w:line="560" w:lineRule="exact"/>
        <w:ind w:right="0" w:rightChars="0" w:firstLine="640" w:firstLineChars="200"/>
        <w:jc w:val="both"/>
        <w:textAlignment w:val="baseline"/>
        <w:rPr>
          <w:lang w:val="zh-CN" w:eastAsia="zh-CN"/>
        </w:rPr>
      </w:pP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202</w:t>
      </w:r>
      <w:r>
        <w:rPr>
          <w:rStyle w:val="15"/>
          <w:rFonts w:hint="eastAsia" w:ascii="Times New Roman" w:hAnsi="Times New Roman" w:cs="Times New Roman"/>
          <w:b w:val="0"/>
          <w:i w:val="0"/>
          <w:caps w:val="0"/>
          <w:color w:val="000000"/>
          <w:spacing w:val="0"/>
          <w:w w:val="100"/>
          <w:kern w:val="2"/>
          <w:sz w:val="32"/>
          <w:szCs w:val="32"/>
          <w:lang w:val="en-US" w:eastAsia="zh-CN" w:bidi="ar-SA"/>
        </w:rPr>
        <w:t>1</w:t>
      </w: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年计划</w:t>
      </w:r>
      <w:r>
        <w:rPr>
          <w:rStyle w:val="15"/>
          <w:rFonts w:hint="default" w:ascii="Times New Roman" w:hAnsi="Times New Roman" w:eastAsia="仿宋_GB2312" w:cs="Times New Roman"/>
          <w:b w:val="0"/>
          <w:i w:val="0"/>
          <w:caps w:val="0"/>
          <w:color w:val="000000"/>
          <w:spacing w:val="0"/>
          <w:w w:val="100"/>
          <w:kern w:val="2"/>
          <w:sz w:val="32"/>
          <w:szCs w:val="32"/>
          <w:lang w:val="zh-CN" w:eastAsia="zh-CN" w:bidi="ar-SA"/>
        </w:rPr>
        <w:t>为400名贫困精神病患者提供服药救助；对8个残疾儿童康复服务机构开展效果评估。</w:t>
      </w: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202</w:t>
      </w:r>
      <w:r>
        <w:rPr>
          <w:rStyle w:val="15"/>
          <w:rFonts w:hint="eastAsia" w:ascii="Times New Roman" w:hAnsi="Times New Roman" w:cs="Times New Roman"/>
          <w:b w:val="0"/>
          <w:i w:val="0"/>
          <w:caps w:val="0"/>
          <w:color w:val="000000"/>
          <w:spacing w:val="0"/>
          <w:w w:val="100"/>
          <w:kern w:val="2"/>
          <w:sz w:val="32"/>
          <w:szCs w:val="32"/>
          <w:lang w:val="en-US" w:eastAsia="zh-CN" w:bidi="ar-SA"/>
        </w:rPr>
        <w:t>1</w:t>
      </w: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年实际</w:t>
      </w:r>
      <w:r>
        <w:rPr>
          <w:rStyle w:val="15"/>
          <w:rFonts w:hint="default" w:ascii="Times New Roman" w:hAnsi="Times New Roman" w:eastAsia="仿宋_GB2312" w:cs="Times New Roman"/>
          <w:b w:val="0"/>
          <w:i w:val="0"/>
          <w:caps w:val="0"/>
          <w:color w:val="000000"/>
          <w:spacing w:val="0"/>
          <w:w w:val="100"/>
          <w:kern w:val="2"/>
          <w:sz w:val="32"/>
          <w:szCs w:val="32"/>
          <w:lang w:val="zh-CN" w:eastAsia="zh-CN" w:bidi="ar-SA"/>
        </w:rPr>
        <w:t>为400名贫困精神病患者提供服药救助；对8个残疾儿童康复服务机构开展效果评估。</w:t>
      </w:r>
    </w:p>
    <w:p>
      <w:pPr>
        <w:numPr>
          <w:ilvl w:val="0"/>
          <w:numId w:val="8"/>
        </w:numPr>
        <w:snapToGrid w:val="0"/>
        <w:spacing w:before="0" w:beforeAutospacing="0" w:after="0" w:afterAutospacing="0" w:line="560" w:lineRule="exact"/>
        <w:ind w:left="0" w:leftChars="0" w:right="0" w:firstLine="720" w:firstLineChars="0"/>
        <w:jc w:val="both"/>
        <w:textAlignment w:val="baseline"/>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项目资金申报相符性。</w:t>
      </w:r>
    </w:p>
    <w:p>
      <w:pPr>
        <w:numPr>
          <w:ilvl w:val="0"/>
          <w:numId w:val="0"/>
        </w:numPr>
        <w:snapToGrid w:val="0"/>
        <w:spacing w:before="0" w:beforeAutospacing="0" w:after="0" w:afterAutospacing="0" w:line="560" w:lineRule="exact"/>
        <w:ind w:right="0" w:rightChars="0" w:firstLine="640" w:firstLineChars="200"/>
        <w:jc w:val="both"/>
        <w:textAlignment w:val="baseline"/>
        <w:rPr>
          <w:rStyle w:val="15"/>
          <w:rFonts w:hint="default" w:ascii="Times New Roman" w:hAnsi="Times New Roman" w:eastAsia="仿宋_GB2312" w:cs="Times New Roman"/>
          <w:b w:val="0"/>
          <w:i w:val="0"/>
          <w:caps w:val="0"/>
          <w:spacing w:val="0"/>
          <w:w w:val="100"/>
          <w:kern w:val="2"/>
          <w:sz w:val="32"/>
          <w:szCs w:val="24"/>
          <w:lang w:val="zh-CN" w:eastAsia="zh-CN"/>
        </w:rPr>
      </w:pPr>
      <w:r>
        <w:rPr>
          <w:rStyle w:val="15"/>
          <w:rFonts w:hint="default" w:ascii="Times New Roman" w:hAnsi="Times New Roman" w:eastAsia="仿宋_GB2312" w:cs="Times New Roman"/>
          <w:b w:val="0"/>
          <w:i w:val="0"/>
          <w:caps w:val="0"/>
          <w:spacing w:val="0"/>
          <w:w w:val="100"/>
          <w:kern w:val="2"/>
          <w:sz w:val="32"/>
          <w:szCs w:val="24"/>
          <w:lang w:val="zh-CN" w:eastAsia="zh-CN"/>
        </w:rPr>
        <w:t>项目申报内容与具体实施内容相符，申报目标合理可行。</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eastAsia="黑体"/>
          <w:lang w:val="en-US"/>
        </w:rPr>
      </w:pPr>
      <w:r>
        <w:rPr>
          <w:rFonts w:hint="eastAsia" w:ascii="Times New Roman" w:hAnsi="Times New Roman" w:eastAsia="黑体" w:cs="黑体"/>
          <w:kern w:val="2"/>
          <w:sz w:val="32"/>
          <w:szCs w:val="24"/>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eastAsia="楷体_GB2312"/>
          <w:b w:val="0"/>
          <w:bCs w:val="0"/>
          <w:lang w:val="zh-CN" w:eastAsia="zh-CN"/>
        </w:rPr>
      </w:pPr>
      <w:r>
        <w:rPr>
          <w:rFonts w:hint="default" w:ascii="Times New Roman" w:hAnsi="Times New Roman" w:eastAsia="仿宋_GB2312" w:cs="Times New Roman"/>
          <w:b w:val="0"/>
          <w:bCs w:val="0"/>
          <w:kern w:val="2"/>
          <w:sz w:val="32"/>
          <w:szCs w:val="24"/>
          <w:lang w:val="zh-CN" w:eastAsia="zh-CN" w:bidi="ar"/>
        </w:rPr>
        <w:tab/>
      </w:r>
      <w:r>
        <w:rPr>
          <w:rFonts w:hint="eastAsia" w:ascii="Times New Roman" w:hAnsi="Times New Roman" w:eastAsia="楷体_GB2312" w:cs="楷体_GB2312"/>
          <w:b w:val="0"/>
          <w:bCs w:val="0"/>
          <w:kern w:val="2"/>
          <w:sz w:val="32"/>
          <w:szCs w:val="24"/>
          <w:lang w:val="zh-CN" w:eastAsia="zh-CN" w:bidi="ar"/>
        </w:rPr>
        <w:t>（一）资金计划、到位及使用情况。</w:t>
      </w:r>
    </w:p>
    <w:p>
      <w:pPr>
        <w:snapToGrid w:val="0"/>
        <w:spacing w:before="0" w:beforeAutospacing="0" w:after="0" w:afterAutospacing="0" w:line="560" w:lineRule="exact"/>
        <w:ind w:left="0" w:right="0" w:firstLine="720"/>
        <w:jc w:val="both"/>
        <w:textAlignment w:val="baseline"/>
        <w:rPr>
          <w:lang w:val="zh-CN" w:eastAsia="zh-CN"/>
        </w:rPr>
      </w:pPr>
      <w:r>
        <w:rPr>
          <w:rFonts w:hint="default" w:ascii="Times New Roman" w:hAnsi="Times New Roman" w:eastAsia="楷体_GB2312" w:cs="Times New Roman"/>
          <w:kern w:val="2"/>
          <w:sz w:val="32"/>
          <w:szCs w:val="24"/>
          <w:lang w:val="zh-CN" w:eastAsia="zh-CN" w:bidi="ar"/>
        </w:rPr>
        <w:t>1</w:t>
      </w:r>
      <w:r>
        <w:rPr>
          <w:rFonts w:hint="eastAsia" w:ascii="Times New Roman" w:hAnsi="Times New Roman" w:eastAsia="楷体_GB2312" w:cs="楷体_GB2312"/>
          <w:kern w:val="2"/>
          <w:sz w:val="32"/>
          <w:szCs w:val="24"/>
          <w:lang w:val="zh-CN" w:eastAsia="zh-CN" w:bidi="ar"/>
        </w:rPr>
        <w:t>．资金计划及到位。</w:t>
      </w:r>
      <w:r>
        <w:rPr>
          <w:rStyle w:val="15"/>
          <w:rFonts w:hint="default" w:ascii="Times New Roman" w:hAnsi="Times New Roman" w:eastAsia="楷体_GB2312" w:cs="Times New Roman"/>
          <w:b w:val="0"/>
          <w:i w:val="0"/>
          <w:caps w:val="0"/>
          <w:color w:val="000000"/>
          <w:spacing w:val="0"/>
          <w:w w:val="100"/>
          <w:kern w:val="2"/>
          <w:sz w:val="32"/>
          <w:szCs w:val="32"/>
          <w:lang w:val="en-US" w:eastAsia="zh-CN" w:bidi="ar-SA"/>
        </w:rPr>
        <w:t>2</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0</w:t>
      </w:r>
      <w:r>
        <w:rPr>
          <w:rStyle w:val="15"/>
          <w:rFonts w:hint="eastAsia" w:ascii="Times New Roman" w:hAnsi="Times New Roman" w:cs="Times New Roman"/>
          <w:b w:val="0"/>
          <w:i w:val="0"/>
          <w:caps w:val="0"/>
          <w:color w:val="333333"/>
          <w:spacing w:val="0"/>
          <w:w w:val="100"/>
          <w:kern w:val="0"/>
          <w:sz w:val="32"/>
          <w:szCs w:val="24"/>
          <w:lang w:val="en-US" w:eastAsia="zh-CN" w:bidi="ar-SA"/>
        </w:rPr>
        <w:t>20</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年10月编制项目资金预算，计划由市级残疾人就业保障金中安排资金25万元，用于支付该项目。</w:t>
      </w: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202</w:t>
      </w:r>
      <w:r>
        <w:rPr>
          <w:rStyle w:val="15"/>
          <w:rFonts w:hint="eastAsia" w:ascii="Times New Roman" w:hAnsi="Times New Roman" w:cs="Times New Roman"/>
          <w:b w:val="0"/>
          <w:i w:val="0"/>
          <w:caps w:val="0"/>
          <w:color w:val="000000"/>
          <w:spacing w:val="0"/>
          <w:w w:val="100"/>
          <w:kern w:val="2"/>
          <w:sz w:val="32"/>
          <w:szCs w:val="32"/>
          <w:lang w:val="en-US" w:eastAsia="zh-CN" w:bidi="ar-SA"/>
        </w:rPr>
        <w:t>1</w:t>
      </w: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年下半年资金全部到位。</w:t>
      </w:r>
    </w:p>
    <w:p>
      <w:pPr>
        <w:snapToGrid w:val="0"/>
        <w:spacing w:before="0" w:beforeAutospacing="0" w:after="0" w:afterAutospacing="0" w:line="560" w:lineRule="exact"/>
        <w:ind w:left="0" w:right="0" w:firstLine="720"/>
        <w:jc w:val="both"/>
        <w:textAlignment w:val="baseline"/>
        <w:rPr>
          <w:rStyle w:val="15"/>
          <w:rFonts w:hint="default" w:ascii="Times New Roman" w:hAnsi="Times New Roman" w:eastAsia="仿宋_GB2312" w:cs="Times New Roman"/>
          <w:b w:val="0"/>
          <w:i w:val="0"/>
          <w:caps w:val="0"/>
          <w:spacing w:val="0"/>
          <w:w w:val="100"/>
          <w:kern w:val="2"/>
          <w:sz w:val="32"/>
          <w:szCs w:val="24"/>
          <w:lang w:val="zh-CN" w:eastAsia="zh-CN"/>
        </w:rPr>
      </w:pPr>
      <w:r>
        <w:rPr>
          <w:rFonts w:hint="default" w:ascii="Times New Roman" w:hAnsi="Times New Roman" w:eastAsia="楷体_GB2312" w:cs="Times New Roman"/>
          <w:kern w:val="2"/>
          <w:sz w:val="32"/>
          <w:szCs w:val="24"/>
          <w:lang w:val="zh-CN" w:eastAsia="zh-CN" w:bidi="ar"/>
        </w:rPr>
        <w:t>2</w:t>
      </w:r>
      <w:r>
        <w:rPr>
          <w:rFonts w:hint="eastAsia" w:ascii="Times New Roman" w:hAnsi="Times New Roman" w:eastAsia="楷体_GB2312" w:cs="楷体_GB2312"/>
          <w:kern w:val="2"/>
          <w:sz w:val="32"/>
          <w:szCs w:val="24"/>
          <w:lang w:val="zh-CN" w:eastAsia="zh-CN" w:bidi="ar"/>
        </w:rPr>
        <w:t>．资金使用。</w:t>
      </w:r>
      <w:r>
        <w:rPr>
          <w:rStyle w:val="15"/>
          <w:rFonts w:hint="default" w:ascii="Times New Roman" w:hAnsi="Times New Roman" w:eastAsia="仿宋_GB2312" w:cs="Times New Roman"/>
          <w:b w:val="0"/>
          <w:i w:val="0"/>
          <w:caps w:val="0"/>
          <w:spacing w:val="0"/>
          <w:w w:val="100"/>
          <w:kern w:val="2"/>
          <w:sz w:val="32"/>
          <w:szCs w:val="24"/>
          <w:lang w:val="zh-CN" w:eastAsia="zh-CN" w:bidi="ar-SA"/>
        </w:rPr>
        <w:t>该项目预算资金</w:t>
      </w:r>
      <w:r>
        <w:rPr>
          <w:rStyle w:val="15"/>
          <w:rFonts w:hint="default" w:ascii="Times New Roman" w:hAnsi="Times New Roman" w:eastAsia="仿宋_GB2312" w:cs="Times New Roman"/>
          <w:b w:val="0"/>
          <w:i w:val="0"/>
          <w:caps w:val="0"/>
          <w:spacing w:val="0"/>
          <w:w w:val="100"/>
          <w:kern w:val="2"/>
          <w:sz w:val="32"/>
          <w:szCs w:val="24"/>
          <w:lang w:val="en-US" w:eastAsia="zh-CN" w:bidi="ar-SA"/>
        </w:rPr>
        <w:t>25</w:t>
      </w:r>
      <w:r>
        <w:rPr>
          <w:rStyle w:val="15"/>
          <w:rFonts w:hint="default" w:ascii="Times New Roman" w:hAnsi="Times New Roman" w:eastAsia="仿宋_GB2312" w:cs="Times New Roman"/>
          <w:b w:val="0"/>
          <w:i w:val="0"/>
          <w:caps w:val="0"/>
          <w:spacing w:val="0"/>
          <w:w w:val="100"/>
          <w:kern w:val="2"/>
          <w:sz w:val="32"/>
          <w:szCs w:val="24"/>
          <w:lang w:val="zh-CN" w:eastAsia="zh-CN" w:bidi="ar-SA"/>
        </w:rPr>
        <w:t>万元，使用资金</w:t>
      </w:r>
      <w:r>
        <w:rPr>
          <w:rStyle w:val="15"/>
          <w:rFonts w:hint="default" w:ascii="Times New Roman" w:hAnsi="Times New Roman" w:eastAsia="仿宋_GB2312" w:cs="Times New Roman"/>
          <w:b w:val="0"/>
          <w:i w:val="0"/>
          <w:caps w:val="0"/>
          <w:spacing w:val="0"/>
          <w:w w:val="100"/>
          <w:kern w:val="2"/>
          <w:sz w:val="32"/>
          <w:szCs w:val="24"/>
          <w:lang w:val="en-US" w:eastAsia="zh-CN" w:bidi="ar-SA"/>
        </w:rPr>
        <w:t>25</w:t>
      </w:r>
      <w:r>
        <w:rPr>
          <w:rStyle w:val="15"/>
          <w:rFonts w:hint="default" w:ascii="Times New Roman" w:hAnsi="Times New Roman" w:eastAsia="仿宋_GB2312" w:cs="Times New Roman"/>
          <w:b w:val="0"/>
          <w:i w:val="0"/>
          <w:caps w:val="0"/>
          <w:spacing w:val="0"/>
          <w:w w:val="100"/>
          <w:kern w:val="2"/>
          <w:sz w:val="32"/>
          <w:szCs w:val="24"/>
          <w:lang w:val="zh-CN" w:eastAsia="zh-CN" w:bidi="ar-SA"/>
        </w:rPr>
        <w:t>万元，全部用于贫困精神病患者提供服药救助项目、对残疾儿童康复服务机构开展效果评估项目，预算执行率100%。</w:t>
      </w:r>
      <w:r>
        <w:rPr>
          <w:rStyle w:val="15"/>
          <w:rFonts w:hint="default" w:ascii="Times New Roman" w:hAnsi="Times New Roman" w:eastAsia="仿宋_GB2312" w:cs="Times New Roman"/>
          <w:b w:val="0"/>
          <w:i w:val="0"/>
          <w:caps w:val="0"/>
          <w:spacing w:val="0"/>
          <w:w w:val="100"/>
          <w:kern w:val="2"/>
          <w:sz w:val="32"/>
          <w:szCs w:val="24"/>
          <w:lang w:val="zh-CN" w:eastAsia="zh-CN"/>
        </w:rPr>
        <w:t>支付依据合规合法，资金支付与预算相符。</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eastAsia="楷体_GB2312"/>
          <w:b w:val="0"/>
          <w:bCs/>
          <w:lang w:val="zh-CN" w:eastAsia="zh-CN"/>
        </w:rPr>
      </w:pPr>
      <w:r>
        <w:rPr>
          <w:rFonts w:hint="eastAsia" w:ascii="Times New Roman" w:hAnsi="Times New Roman" w:eastAsia="楷体_GB2312" w:cs="楷体_GB2312"/>
          <w:b w:val="0"/>
          <w:bCs/>
          <w:kern w:val="2"/>
          <w:sz w:val="32"/>
          <w:szCs w:val="24"/>
          <w:lang w:val="zh-CN" w:eastAsia="zh-CN" w:bidi="ar"/>
        </w:rPr>
        <w:t>（二）项目财务管理情况。</w:t>
      </w:r>
    </w:p>
    <w:p>
      <w:pPr>
        <w:snapToGrid w:val="0"/>
        <w:spacing w:before="0" w:beforeAutospacing="0" w:after="0" w:afterAutospacing="0" w:line="560" w:lineRule="exact"/>
        <w:ind w:firstLine="720"/>
        <w:jc w:val="both"/>
        <w:textAlignment w:val="baseline"/>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pPr>
      <w:r>
        <w:rPr>
          <w:rStyle w:val="15"/>
          <w:rFonts w:hint="default" w:ascii="Times New Roman" w:hAnsi="Times New Roman" w:eastAsia="仿宋_GB2312" w:cs="Times New Roman"/>
          <w:b w:val="0"/>
          <w:i w:val="0"/>
          <w:caps w:val="0"/>
          <w:spacing w:val="0"/>
          <w:w w:val="100"/>
          <w:kern w:val="2"/>
          <w:sz w:val="32"/>
          <w:szCs w:val="24"/>
          <w:lang w:val="zh-CN" w:eastAsia="zh-CN" w:bidi="ar-SA"/>
        </w:rPr>
        <w:t>市级残联部门和相关项目实施单位财务管理制度健全，严格执行资金管理办法和财务管理制度，账务处理及时，会计核算规范。真实、准确、完整反映了项目资金使用情况。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eastAsia="楷体_GB2312"/>
          <w:b w:val="0"/>
          <w:bCs/>
          <w:lang w:val="zh-CN" w:eastAsia="zh-CN"/>
        </w:rPr>
      </w:pPr>
      <w:r>
        <w:rPr>
          <w:rFonts w:hint="eastAsia" w:ascii="Times New Roman" w:hAnsi="Times New Roman" w:eastAsia="楷体_GB2312" w:cs="楷体_GB2312"/>
          <w:b w:val="0"/>
          <w:bCs/>
          <w:kern w:val="2"/>
          <w:sz w:val="32"/>
          <w:szCs w:val="24"/>
          <w:lang w:val="zh-CN" w:eastAsia="zh-CN" w:bidi="ar"/>
        </w:rPr>
        <w:t>（三）项目组织实施情况。</w:t>
      </w:r>
    </w:p>
    <w:p>
      <w:pPr>
        <w:snapToGrid w:val="0"/>
        <w:spacing w:before="0" w:beforeAutospacing="0" w:after="0" w:afterAutospacing="0" w:line="600" w:lineRule="exact"/>
        <w:ind w:firstLine="720"/>
        <w:jc w:val="both"/>
        <w:textAlignment w:val="baseline"/>
        <w:rPr>
          <w:rStyle w:val="15"/>
          <w:rFonts w:hint="default" w:ascii="Times New Roman" w:hAnsi="Times New Roman" w:eastAsia="楷体_GB2312" w:cs="Times New Roman"/>
          <w:b/>
          <w:i w:val="0"/>
          <w:caps w:val="0"/>
          <w:color w:val="000000"/>
          <w:spacing w:val="0"/>
          <w:w w:val="100"/>
          <w:kern w:val="2"/>
          <w:sz w:val="32"/>
          <w:szCs w:val="32"/>
          <w:lang w:val="zh-CN" w:eastAsia="zh-CN" w:bidi="ar-SA"/>
        </w:rPr>
      </w:pPr>
      <w:r>
        <w:rPr>
          <w:rStyle w:val="15"/>
          <w:rFonts w:hint="default" w:ascii="Times New Roman" w:hAnsi="Times New Roman" w:eastAsia="楷体_GB2312" w:cs="Times New Roman"/>
          <w:b/>
          <w:i w:val="0"/>
          <w:caps w:val="0"/>
          <w:color w:val="000000"/>
          <w:spacing w:val="0"/>
          <w:w w:val="100"/>
          <w:kern w:val="2"/>
          <w:sz w:val="32"/>
          <w:szCs w:val="32"/>
          <w:lang w:val="en-US" w:eastAsia="zh-CN" w:bidi="ar-SA"/>
        </w:rPr>
        <w:t>1.</w:t>
      </w:r>
      <w:r>
        <w:rPr>
          <w:rStyle w:val="15"/>
          <w:rFonts w:hint="default" w:ascii="Times New Roman" w:hAnsi="Times New Roman" w:eastAsia="楷体_GB2312" w:cs="Times New Roman"/>
          <w:b/>
          <w:i w:val="0"/>
          <w:caps w:val="0"/>
          <w:color w:val="000000"/>
          <w:spacing w:val="0"/>
          <w:w w:val="100"/>
          <w:kern w:val="2"/>
          <w:sz w:val="32"/>
          <w:szCs w:val="32"/>
          <w:lang w:val="zh-CN" w:eastAsia="zh-CN" w:bidi="ar-SA"/>
        </w:rPr>
        <w:t>机构设置</w:t>
      </w:r>
    </w:p>
    <w:p>
      <w:pPr>
        <w:snapToGrid w:val="0"/>
        <w:spacing w:before="0" w:beforeAutospacing="0" w:after="0" w:afterAutospacing="0" w:line="560" w:lineRule="exact"/>
        <w:ind w:right="0" w:firstLine="640" w:firstLineChars="200"/>
        <w:jc w:val="both"/>
        <w:textAlignment w:val="baseline"/>
        <w:rPr>
          <w:rStyle w:val="15"/>
          <w:rFonts w:hint="default" w:ascii="Times New Roman" w:hAnsi="Times New Roman" w:eastAsia="楷体_GB2312" w:cs="Times New Roman"/>
          <w:b/>
          <w:i w:val="0"/>
          <w:caps w:val="0"/>
          <w:color w:val="000000"/>
          <w:spacing w:val="0"/>
          <w:w w:val="100"/>
          <w:kern w:val="2"/>
          <w:sz w:val="32"/>
          <w:szCs w:val="32"/>
          <w:lang w:val="en-US" w:eastAsia="zh-CN" w:bidi="ar-SA"/>
        </w:rPr>
      </w:pPr>
      <w:r>
        <w:rPr>
          <w:rStyle w:val="15"/>
          <w:rFonts w:hint="default" w:ascii="Times New Roman" w:hAnsi="Times New Roman" w:eastAsia="仿宋_GB2312" w:cs="Times New Roman"/>
          <w:b w:val="0"/>
          <w:i w:val="0"/>
          <w:caps w:val="0"/>
          <w:spacing w:val="0"/>
          <w:w w:val="100"/>
          <w:kern w:val="2"/>
          <w:sz w:val="32"/>
          <w:szCs w:val="24"/>
          <w:lang w:val="zh-CN" w:eastAsia="zh-CN" w:bidi="ar-SA"/>
        </w:rPr>
        <w:t>市残联党组高度重视预算绩效管理工作，按照《</w:t>
      </w:r>
      <w:r>
        <w:rPr>
          <w:rStyle w:val="14"/>
          <w:rFonts w:hint="default" w:ascii="Times New Roman" w:hAnsi="Times New Roman" w:eastAsia="仿宋_GB2312" w:cs="Times New Roman"/>
          <w:b w:val="0"/>
          <w:bCs/>
          <w:i w:val="0"/>
          <w:caps w:val="0"/>
          <w:spacing w:val="0"/>
          <w:w w:val="100"/>
          <w:kern w:val="2"/>
          <w:sz w:val="32"/>
          <w:szCs w:val="24"/>
          <w:lang w:val="en-US" w:eastAsia="zh-CN" w:bidi="ar-SA"/>
        </w:rPr>
        <w:t>自贡市市级预算绩效目标管理办法</w:t>
      </w:r>
      <w:r>
        <w:rPr>
          <w:rStyle w:val="15"/>
          <w:rFonts w:hint="default" w:ascii="Times New Roman" w:hAnsi="Times New Roman" w:eastAsia="仿宋_GB2312" w:cs="Times New Roman"/>
          <w:b w:val="0"/>
          <w:i w:val="0"/>
          <w:caps w:val="0"/>
          <w:spacing w:val="0"/>
          <w:w w:val="100"/>
          <w:kern w:val="2"/>
          <w:sz w:val="32"/>
          <w:szCs w:val="24"/>
          <w:lang w:val="zh-CN" w:eastAsia="zh-CN" w:bidi="ar-SA"/>
        </w:rPr>
        <w:t>》，将全面实施预算绩效管理各项措施落到实处。召开党组会及行政办公会部署预算工作，一是要求预算编制始终着眼残疾人所想所需，特别是所急所盼和残联可为，尽力而为、量力而行，始终把残疾人的获得感幸福感安全感作为预算编制的出发点和落脚点。二是强化预算绩效意识，以绩效目标为引领，推动实现预算和绩效管理一体化。</w:t>
      </w:r>
      <w:r>
        <w:rPr>
          <w:rStyle w:val="15"/>
          <w:rFonts w:hint="default" w:ascii="Times New Roman" w:hAnsi="Times New Roman" w:eastAsia="仿宋_GB2312" w:cs="Times New Roman"/>
          <w:b w:val="0"/>
          <w:i w:val="0"/>
          <w:caps w:val="0"/>
          <w:spacing w:val="0"/>
          <w:w w:val="100"/>
          <w:kern w:val="2"/>
          <w:sz w:val="32"/>
          <w:szCs w:val="24"/>
          <w:lang w:val="zh-CN" w:eastAsia="zh-CN" w:bidi="ar-SA"/>
        </w:rPr>
        <w:br w:type="textWrapping"/>
      </w:r>
      <w:r>
        <w:rPr>
          <w:rStyle w:val="15"/>
          <w:rFonts w:hint="default" w:ascii="Times New Roman" w:hAnsi="Times New Roman" w:eastAsia="仿宋_GB2312" w:cs="Times New Roman"/>
          <w:b w:val="0"/>
          <w:i w:val="0"/>
          <w:caps w:val="0"/>
          <w:spacing w:val="0"/>
          <w:w w:val="100"/>
          <w:kern w:val="2"/>
          <w:sz w:val="32"/>
          <w:szCs w:val="24"/>
          <w:lang w:val="en-US" w:eastAsia="zh-CN" w:bidi="ar-SA"/>
        </w:rPr>
        <w:t xml:space="preserve">     </w:t>
      </w:r>
      <w:r>
        <w:rPr>
          <w:rStyle w:val="15"/>
          <w:rFonts w:hint="default" w:ascii="Times New Roman" w:hAnsi="Times New Roman" w:eastAsia="楷体_GB2312" w:cs="Times New Roman"/>
          <w:b/>
          <w:i w:val="0"/>
          <w:caps w:val="0"/>
          <w:color w:val="000000"/>
          <w:spacing w:val="0"/>
          <w:w w:val="100"/>
          <w:kern w:val="2"/>
          <w:sz w:val="32"/>
          <w:szCs w:val="32"/>
          <w:lang w:val="en-US" w:eastAsia="zh-CN" w:bidi="ar-SA"/>
        </w:rPr>
        <w:t>2.监管措施</w:t>
      </w:r>
    </w:p>
    <w:p>
      <w:pPr>
        <w:widowControl/>
        <w:snapToGrid/>
        <w:spacing w:before="0" w:beforeAutospacing="0" w:after="0" w:afterAutospacing="0" w:line="560" w:lineRule="atLeast"/>
        <w:ind w:firstLine="640"/>
        <w:jc w:val="left"/>
        <w:textAlignment w:val="baseline"/>
        <w:rPr>
          <w:rStyle w:val="15"/>
          <w:rFonts w:hint="default" w:ascii="Times New Roman" w:hAnsi="Times New Roman" w:eastAsia="仿宋_GB2312" w:cs="Times New Roman"/>
          <w:b w:val="0"/>
          <w:bCs/>
          <w:i w:val="0"/>
          <w:caps w:val="0"/>
          <w:color w:val="333333"/>
          <w:spacing w:val="0"/>
          <w:w w:val="100"/>
          <w:kern w:val="0"/>
          <w:sz w:val="32"/>
          <w:szCs w:val="24"/>
          <w:lang w:val="en-US" w:eastAsia="zh-CN" w:bidi="ar-SA"/>
        </w:rPr>
      </w:pPr>
      <w:r>
        <w:rPr>
          <w:rStyle w:val="15"/>
          <w:rFonts w:hint="default" w:ascii="Times New Roman" w:hAnsi="Times New Roman" w:eastAsia="仿宋_GB2312" w:cs="Times New Roman"/>
          <w:b w:val="0"/>
          <w:i w:val="0"/>
          <w:caps w:val="0"/>
          <w:spacing w:val="0"/>
          <w:w w:val="100"/>
          <w:kern w:val="2"/>
          <w:sz w:val="32"/>
          <w:szCs w:val="24"/>
          <w:lang w:val="en-US" w:eastAsia="zh-CN" w:bidi="ar-SA"/>
        </w:rPr>
        <w:t>项目实施按照残疾儿童康复救助制度的</w:t>
      </w:r>
      <w:r>
        <w:rPr>
          <w:rStyle w:val="15"/>
          <w:rFonts w:hint="eastAsia" w:ascii="Times New Roman" w:hAnsi="Times New Roman" w:cs="Times New Roman"/>
          <w:b w:val="0"/>
          <w:i w:val="0"/>
          <w:caps w:val="0"/>
          <w:spacing w:val="0"/>
          <w:w w:val="100"/>
          <w:kern w:val="2"/>
          <w:sz w:val="32"/>
          <w:szCs w:val="24"/>
          <w:lang w:val="en-US" w:eastAsia="zh-CN" w:bidi="ar-SA"/>
        </w:rPr>
        <w:t>相关</w:t>
      </w:r>
      <w:r>
        <w:rPr>
          <w:rStyle w:val="15"/>
          <w:rFonts w:hint="default" w:ascii="Times New Roman" w:hAnsi="Times New Roman" w:eastAsia="仿宋_GB2312" w:cs="Times New Roman"/>
          <w:b w:val="0"/>
          <w:i w:val="0"/>
          <w:caps w:val="0"/>
          <w:spacing w:val="0"/>
          <w:w w:val="100"/>
          <w:kern w:val="2"/>
          <w:sz w:val="32"/>
          <w:szCs w:val="24"/>
          <w:lang w:val="en-US" w:eastAsia="zh-CN" w:bidi="ar-SA"/>
        </w:rPr>
        <w:t>要求，进一步做好残疾儿童康复救助工作，切实保障残疾儿童康复服务需求，提升残疾人家庭获得感、幸福感和安全感。</w:t>
      </w:r>
    </w:p>
    <w:p>
      <w:pPr>
        <w:snapToGrid w:val="0"/>
        <w:spacing w:before="0" w:beforeAutospacing="0" w:after="0" w:afterAutospacing="0" w:line="560" w:lineRule="exact"/>
        <w:ind w:right="0" w:firstLine="643" w:firstLineChars="200"/>
        <w:jc w:val="both"/>
        <w:textAlignment w:val="baseline"/>
        <w:rPr>
          <w:rStyle w:val="15"/>
          <w:rFonts w:hint="default" w:ascii="Times New Roman" w:hAnsi="Times New Roman" w:eastAsia="仿宋_GB2312" w:cs="Times New Roman"/>
          <w:b/>
          <w:bCs/>
          <w:i w:val="0"/>
          <w:caps w:val="0"/>
          <w:spacing w:val="0"/>
          <w:w w:val="100"/>
          <w:kern w:val="2"/>
          <w:sz w:val="32"/>
          <w:szCs w:val="24"/>
          <w:lang w:val="zh-CN" w:eastAsia="zh-CN" w:bidi="ar-SA"/>
        </w:rPr>
      </w:pPr>
      <w:r>
        <w:rPr>
          <w:rStyle w:val="15"/>
          <w:rFonts w:hint="eastAsia" w:ascii="Times New Roman" w:hAnsi="Times New Roman" w:eastAsia="仿宋_GB2312" w:cs="Times New Roman"/>
          <w:b/>
          <w:bCs/>
          <w:i w:val="0"/>
          <w:caps w:val="0"/>
          <w:spacing w:val="0"/>
          <w:w w:val="100"/>
          <w:kern w:val="2"/>
          <w:sz w:val="32"/>
          <w:szCs w:val="24"/>
          <w:lang w:val="en-US" w:eastAsia="zh-CN" w:bidi="ar-SA"/>
        </w:rPr>
        <w:t>3.</w:t>
      </w:r>
      <w:r>
        <w:rPr>
          <w:rStyle w:val="15"/>
          <w:rFonts w:hint="default" w:ascii="Times New Roman" w:hAnsi="Times New Roman" w:eastAsia="仿宋_GB2312" w:cs="Times New Roman"/>
          <w:b/>
          <w:bCs/>
          <w:i w:val="0"/>
          <w:caps w:val="0"/>
          <w:spacing w:val="0"/>
          <w:w w:val="100"/>
          <w:kern w:val="2"/>
          <w:sz w:val="32"/>
          <w:szCs w:val="24"/>
          <w:lang w:val="zh-CN" w:eastAsia="zh-CN" w:bidi="ar-SA"/>
        </w:rPr>
        <w:t>项目管理情况</w:t>
      </w:r>
    </w:p>
    <w:p>
      <w:pPr>
        <w:snapToGrid w:val="0"/>
        <w:spacing w:before="0" w:beforeAutospacing="0" w:after="0" w:afterAutospacing="0" w:line="560" w:lineRule="exact"/>
        <w:ind w:right="0" w:firstLine="640" w:firstLineChars="200"/>
        <w:jc w:val="both"/>
        <w:textAlignment w:val="baseline"/>
        <w:rPr>
          <w:rStyle w:val="15"/>
          <w:rFonts w:hint="default" w:ascii="Times New Roman" w:hAnsi="Times New Roman" w:eastAsia="仿宋_GB2312" w:cs="Times New Roman"/>
          <w:b w:val="0"/>
          <w:i w:val="0"/>
          <w:caps w:val="0"/>
          <w:spacing w:val="0"/>
          <w:w w:val="100"/>
          <w:kern w:val="2"/>
          <w:sz w:val="32"/>
          <w:szCs w:val="24"/>
          <w:lang w:val="zh-CN" w:eastAsia="zh-CN" w:bidi="ar-SA"/>
        </w:rPr>
      </w:pPr>
      <w:r>
        <w:rPr>
          <w:rStyle w:val="15"/>
          <w:rFonts w:hint="default" w:ascii="Times New Roman" w:hAnsi="Times New Roman" w:eastAsia="仿宋_GB2312" w:cs="Times New Roman"/>
          <w:b w:val="0"/>
          <w:i w:val="0"/>
          <w:caps w:val="0"/>
          <w:spacing w:val="0"/>
          <w:w w:val="100"/>
          <w:kern w:val="2"/>
          <w:sz w:val="32"/>
          <w:szCs w:val="24"/>
          <w:lang w:val="zh-CN" w:eastAsia="zh-CN" w:bidi="ar-SA"/>
        </w:rPr>
        <w:t>（</w:t>
      </w:r>
      <w:r>
        <w:rPr>
          <w:rStyle w:val="15"/>
          <w:rFonts w:hint="default" w:ascii="Times New Roman" w:hAnsi="Times New Roman" w:eastAsia="仿宋_GB2312" w:cs="Times New Roman"/>
          <w:b w:val="0"/>
          <w:i w:val="0"/>
          <w:caps w:val="0"/>
          <w:spacing w:val="0"/>
          <w:w w:val="100"/>
          <w:kern w:val="2"/>
          <w:sz w:val="32"/>
          <w:szCs w:val="24"/>
          <w:lang w:val="en-US" w:eastAsia="zh-CN" w:bidi="ar-SA"/>
        </w:rPr>
        <w:t>1</w:t>
      </w:r>
      <w:r>
        <w:rPr>
          <w:rStyle w:val="15"/>
          <w:rFonts w:hint="default" w:ascii="Times New Roman" w:hAnsi="Times New Roman" w:eastAsia="仿宋_GB2312" w:cs="Times New Roman"/>
          <w:b w:val="0"/>
          <w:i w:val="0"/>
          <w:caps w:val="0"/>
          <w:spacing w:val="0"/>
          <w:w w:val="100"/>
          <w:kern w:val="2"/>
          <w:sz w:val="32"/>
          <w:szCs w:val="24"/>
          <w:lang w:val="zh-CN" w:eastAsia="zh-CN" w:bidi="ar-SA"/>
        </w:rPr>
        <w:t>）通过推进预算编制、执行和绩效管理工作，增强了全市残联干部职工的绩效意识，通过层层传导工作压力，层层压实绩效责任，将绩效管理落实到业务工作的各个环节、各个方面。充分发挥绩效目标的核心和引领作用，凝聚各方力量，瞄准主责主业，提升治理能力，使有限的财政资金提质增效，聚焦残疾人的获得感幸福感安全感。</w:t>
      </w:r>
      <w:r>
        <w:rPr>
          <w:rStyle w:val="15"/>
          <w:rFonts w:hint="default" w:ascii="Times New Roman" w:hAnsi="Times New Roman" w:eastAsia="仿宋_GB2312" w:cs="Times New Roman"/>
          <w:b w:val="0"/>
          <w:i w:val="0"/>
          <w:caps w:val="0"/>
          <w:spacing w:val="0"/>
          <w:w w:val="100"/>
          <w:kern w:val="2"/>
          <w:sz w:val="32"/>
          <w:szCs w:val="24"/>
          <w:lang w:val="zh-CN" w:eastAsia="zh-CN" w:bidi="ar-SA"/>
        </w:rPr>
        <w:br w:type="textWrapping"/>
      </w:r>
      <w:r>
        <w:rPr>
          <w:rStyle w:val="15"/>
          <w:rFonts w:hint="default" w:ascii="Times New Roman" w:hAnsi="Times New Roman" w:eastAsia="仿宋_GB2312" w:cs="Times New Roman"/>
          <w:b w:val="0"/>
          <w:i w:val="0"/>
          <w:caps w:val="0"/>
          <w:spacing w:val="0"/>
          <w:w w:val="100"/>
          <w:kern w:val="2"/>
          <w:sz w:val="32"/>
          <w:szCs w:val="24"/>
          <w:lang w:val="zh-CN" w:eastAsia="zh-CN" w:bidi="ar-SA"/>
        </w:rPr>
        <w:t xml:space="preserve">    </w:t>
      </w:r>
      <w:r>
        <w:rPr>
          <w:rStyle w:val="15"/>
          <w:rFonts w:hint="default" w:ascii="Times New Roman" w:hAnsi="Times New Roman" w:eastAsia="仿宋_GB2312" w:cs="Times New Roman"/>
          <w:b w:val="0"/>
          <w:i w:val="0"/>
          <w:caps w:val="0"/>
          <w:spacing w:val="0"/>
          <w:w w:val="100"/>
          <w:kern w:val="2"/>
          <w:sz w:val="32"/>
          <w:szCs w:val="24"/>
          <w:lang w:val="en-US" w:eastAsia="zh-CN" w:bidi="ar-SA"/>
        </w:rPr>
        <w:t>（2）</w:t>
      </w:r>
      <w:r>
        <w:rPr>
          <w:rStyle w:val="15"/>
          <w:rFonts w:hint="default" w:ascii="Times New Roman" w:hAnsi="Times New Roman" w:eastAsia="仿宋_GB2312" w:cs="Times New Roman"/>
          <w:b w:val="0"/>
          <w:i w:val="0"/>
          <w:caps w:val="0"/>
          <w:spacing w:val="0"/>
          <w:w w:val="100"/>
          <w:kern w:val="2"/>
          <w:sz w:val="32"/>
          <w:szCs w:val="24"/>
          <w:lang w:val="zh-CN" w:eastAsia="zh-CN" w:bidi="ar-SA"/>
        </w:rPr>
        <w:t>积极做好预算事前评估工作。事前绩效评估以项目支出为重点，着重对新增预算项目做好事前评估，在此基础上，科学合理设置绩效目标，作为执行监控、绩效评价的依据。</w:t>
      </w:r>
    </w:p>
    <w:p>
      <w:pPr>
        <w:keepNext w:val="0"/>
        <w:keepLines w:val="0"/>
        <w:widowControl w:val="0"/>
        <w:suppressLineNumbers w:val="0"/>
        <w:adjustRightInd w:val="0"/>
        <w:snapToGrid w:val="0"/>
        <w:spacing w:before="0" w:beforeAutospacing="0" w:after="0" w:afterAutospacing="0" w:line="580" w:lineRule="exact"/>
        <w:ind w:left="0" w:right="0" w:firstLine="720"/>
        <w:jc w:val="both"/>
        <w:rPr>
          <w:lang w:val="zh-CN" w:eastAsia="zh-CN"/>
        </w:rPr>
      </w:pPr>
      <w:r>
        <w:rPr>
          <w:rFonts w:hint="eastAsia" w:ascii="Times New Roman" w:hAnsi="Times New Roman" w:eastAsia="黑体" w:cs="黑体"/>
          <w:kern w:val="2"/>
          <w:sz w:val="32"/>
          <w:szCs w:val="24"/>
          <w:lang w:val="en-US" w:eastAsia="zh-CN" w:bidi="ar"/>
        </w:rPr>
        <w:t>三、项目绩效情况</w:t>
      </w:r>
      <w:r>
        <w:rPr>
          <w:rFonts w:hint="default" w:ascii="Times New Roman" w:hAnsi="Times New Roman" w:eastAsia="仿宋_GB2312" w:cs="Times New Roman"/>
          <w:kern w:val="2"/>
          <w:sz w:val="32"/>
          <w:szCs w:val="24"/>
          <w:lang w:val="zh-CN" w:eastAsia="zh-CN" w:bidi="ar"/>
        </w:rPr>
        <w:tab/>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eastAsia="楷体_GB2312"/>
          <w:b w:val="0"/>
          <w:bCs/>
          <w:lang w:val="zh-CN" w:eastAsia="zh-CN"/>
        </w:rPr>
      </w:pPr>
      <w:r>
        <w:rPr>
          <w:rFonts w:hint="eastAsia" w:ascii="Times New Roman" w:hAnsi="Times New Roman" w:eastAsia="楷体_GB2312" w:cs="楷体_GB2312"/>
          <w:b w:val="0"/>
          <w:bCs/>
          <w:kern w:val="2"/>
          <w:sz w:val="32"/>
          <w:szCs w:val="24"/>
          <w:lang w:val="zh-CN" w:eastAsia="zh-CN" w:bidi="ar"/>
        </w:rPr>
        <w:t>（一）项目完成情况。</w:t>
      </w:r>
    </w:p>
    <w:p>
      <w:pPr>
        <w:widowControl/>
        <w:snapToGrid/>
        <w:spacing w:before="0" w:beforeAutospacing="0" w:after="0" w:afterAutospacing="0" w:line="560" w:lineRule="atLeast"/>
        <w:ind w:firstLine="640" w:firstLineChars="200"/>
        <w:jc w:val="left"/>
        <w:textAlignment w:val="baseline"/>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pP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1.数量指标。设置数量指标项目共2个，完成数量指标项目2个，完成率100%。</w:t>
      </w:r>
    </w:p>
    <w:p>
      <w:pPr>
        <w:widowControl/>
        <w:snapToGrid/>
        <w:spacing w:before="0" w:beforeAutospacing="0" w:after="0" w:afterAutospacing="0" w:line="560" w:lineRule="atLeast"/>
        <w:ind w:firstLine="640" w:firstLineChars="200"/>
        <w:jc w:val="left"/>
        <w:textAlignment w:val="baseline"/>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pP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2.</w:t>
      </w:r>
      <w:r>
        <w:rPr>
          <w:rStyle w:val="15"/>
          <w:rFonts w:hint="eastAsia" w:ascii="Times New Roman" w:hAnsi="Times New Roman" w:cs="Times New Roman"/>
          <w:b w:val="0"/>
          <w:i w:val="0"/>
          <w:caps w:val="0"/>
          <w:color w:val="333333"/>
          <w:spacing w:val="0"/>
          <w:w w:val="100"/>
          <w:kern w:val="0"/>
          <w:sz w:val="32"/>
          <w:szCs w:val="24"/>
          <w:lang w:val="en-US" w:eastAsia="zh-CN" w:bidi="ar-SA"/>
        </w:rPr>
        <w:t>质量</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指标。设置质量指标项目共1个，完成</w:t>
      </w:r>
      <w:r>
        <w:rPr>
          <w:rStyle w:val="15"/>
          <w:rFonts w:hint="eastAsia" w:ascii="Times New Roman" w:hAnsi="Times New Roman" w:cs="Times New Roman"/>
          <w:b w:val="0"/>
          <w:i w:val="0"/>
          <w:caps w:val="0"/>
          <w:color w:val="333333"/>
          <w:spacing w:val="0"/>
          <w:w w:val="100"/>
          <w:kern w:val="0"/>
          <w:sz w:val="32"/>
          <w:szCs w:val="24"/>
          <w:lang w:val="en-US" w:eastAsia="zh-CN" w:bidi="ar-SA"/>
        </w:rPr>
        <w:t>质量</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指标项目1个，完成率100%。</w:t>
      </w:r>
    </w:p>
    <w:p>
      <w:pPr>
        <w:snapToGrid w:val="0"/>
        <w:spacing w:before="0" w:beforeAutospacing="0" w:after="0" w:afterAutospacing="0" w:line="560" w:lineRule="exact"/>
        <w:ind w:right="0" w:firstLine="640" w:firstLineChars="200"/>
        <w:jc w:val="both"/>
        <w:textAlignment w:val="baseline"/>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pP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3.时效指标。设置时效指标项目共1个，完成</w:t>
      </w:r>
      <w:r>
        <w:rPr>
          <w:rStyle w:val="15"/>
          <w:rFonts w:hint="eastAsia" w:ascii="Times New Roman" w:hAnsi="Times New Roman" w:cs="Times New Roman"/>
          <w:b w:val="0"/>
          <w:i w:val="0"/>
          <w:caps w:val="0"/>
          <w:color w:val="333333"/>
          <w:spacing w:val="0"/>
          <w:w w:val="100"/>
          <w:kern w:val="0"/>
          <w:sz w:val="32"/>
          <w:szCs w:val="24"/>
          <w:lang w:val="en-US" w:eastAsia="zh-CN" w:bidi="ar-SA"/>
        </w:rPr>
        <w:t>时效</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指标项目1个，完成率100%。</w:t>
      </w:r>
    </w:p>
    <w:p>
      <w:pPr>
        <w:snapToGrid w:val="0"/>
        <w:spacing w:before="0" w:beforeAutospacing="0" w:after="0" w:afterAutospacing="0" w:line="560" w:lineRule="exact"/>
        <w:ind w:right="0" w:firstLine="640" w:firstLineChars="200"/>
        <w:jc w:val="both"/>
        <w:textAlignment w:val="baseline"/>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pPr>
      <w:r>
        <w:rPr>
          <w:rStyle w:val="15"/>
          <w:rFonts w:hint="eastAsia" w:ascii="Times New Roman" w:hAnsi="Times New Roman" w:cs="Times New Roman"/>
          <w:b w:val="0"/>
          <w:i w:val="0"/>
          <w:caps w:val="0"/>
          <w:color w:val="333333"/>
          <w:spacing w:val="0"/>
          <w:w w:val="100"/>
          <w:kern w:val="0"/>
          <w:sz w:val="32"/>
          <w:szCs w:val="24"/>
          <w:lang w:val="en-US" w:eastAsia="zh-CN" w:bidi="ar-SA"/>
        </w:rPr>
        <w:t>4.成本</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指标。设置</w:t>
      </w:r>
      <w:r>
        <w:rPr>
          <w:rStyle w:val="15"/>
          <w:rFonts w:hint="eastAsia" w:ascii="Times New Roman" w:hAnsi="Times New Roman" w:cs="Times New Roman"/>
          <w:b w:val="0"/>
          <w:i w:val="0"/>
          <w:caps w:val="0"/>
          <w:color w:val="333333"/>
          <w:spacing w:val="0"/>
          <w:w w:val="100"/>
          <w:kern w:val="0"/>
          <w:sz w:val="32"/>
          <w:szCs w:val="24"/>
          <w:lang w:val="en-US" w:eastAsia="zh-CN" w:bidi="ar-SA"/>
        </w:rPr>
        <w:t>成本</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指标项目共1个，完成</w:t>
      </w:r>
      <w:r>
        <w:rPr>
          <w:rStyle w:val="15"/>
          <w:rFonts w:hint="eastAsia" w:ascii="Times New Roman" w:hAnsi="Times New Roman" w:cs="Times New Roman"/>
          <w:b w:val="0"/>
          <w:i w:val="0"/>
          <w:caps w:val="0"/>
          <w:color w:val="333333"/>
          <w:spacing w:val="0"/>
          <w:w w:val="100"/>
          <w:kern w:val="0"/>
          <w:sz w:val="32"/>
          <w:szCs w:val="24"/>
          <w:lang w:val="en-US" w:eastAsia="zh-CN" w:bidi="ar-SA"/>
        </w:rPr>
        <w:t>成本</w:t>
      </w:r>
      <w:r>
        <w:rPr>
          <w:rStyle w:val="15"/>
          <w:rFonts w:hint="default" w:ascii="Times New Roman" w:hAnsi="Times New Roman" w:eastAsia="仿宋_GB2312" w:cs="Times New Roman"/>
          <w:b w:val="0"/>
          <w:i w:val="0"/>
          <w:caps w:val="0"/>
          <w:color w:val="333333"/>
          <w:spacing w:val="0"/>
          <w:w w:val="100"/>
          <w:kern w:val="0"/>
          <w:sz w:val="32"/>
          <w:szCs w:val="24"/>
          <w:lang w:val="en-US" w:eastAsia="zh-CN" w:bidi="ar-SA"/>
        </w:rPr>
        <w:t>指标项目1个，完成率100%。</w:t>
      </w:r>
    </w:p>
    <w:p>
      <w:pPr>
        <w:snapToGrid w:val="0"/>
        <w:spacing w:before="0" w:beforeAutospacing="0" w:after="0" w:afterAutospacing="0" w:line="560" w:lineRule="exact"/>
        <w:ind w:right="0" w:firstLine="640" w:firstLineChars="200"/>
        <w:jc w:val="both"/>
        <w:textAlignment w:val="baseline"/>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（二）项目效益情况。</w:t>
      </w:r>
    </w:p>
    <w:p>
      <w:pPr>
        <w:snapToGrid w:val="0"/>
        <w:spacing w:before="0" w:beforeAutospacing="0" w:after="0" w:afterAutospacing="0" w:line="560" w:lineRule="exact"/>
        <w:ind w:right="0" w:firstLine="640" w:firstLineChars="200"/>
        <w:jc w:val="both"/>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r>
        <w:rPr>
          <w:rStyle w:val="15"/>
          <w:rFonts w:hint="default" w:ascii="Times New Roman" w:hAnsi="Times New Roman" w:eastAsia="仿宋_GB2312" w:cs="Times New Roman"/>
          <w:b w:val="0"/>
          <w:i w:val="0"/>
          <w:caps w:val="0"/>
          <w:spacing w:val="0"/>
          <w:w w:val="100"/>
          <w:kern w:val="2"/>
          <w:sz w:val="32"/>
          <w:szCs w:val="24"/>
          <w:lang w:val="en-US" w:eastAsia="zh-CN" w:bidi="ar-SA"/>
        </w:rPr>
        <w:t>为400名贫困精神病患者提供服药救助，对8个残疾人康复机构开展康复效果评估。通过项目实施，提高了残疾人康复服务水平，提高残疾人生活水平及融入社会能力；落实精准保障残疾人基本康复服务需求，有效扩大残疾人基本康复服务覆盖面</w:t>
      </w:r>
      <w:r>
        <w:rPr>
          <w:rStyle w:val="15"/>
          <w:rFonts w:hint="eastAsia" w:ascii="Times New Roman" w:hAnsi="Times New Roman" w:cs="Times New Roman"/>
          <w:b w:val="0"/>
          <w:i w:val="0"/>
          <w:caps w:val="0"/>
          <w:spacing w:val="0"/>
          <w:w w:val="100"/>
          <w:kern w:val="2"/>
          <w:sz w:val="32"/>
          <w:szCs w:val="24"/>
          <w:lang w:val="en-US" w:eastAsia="zh-CN" w:bidi="ar-SA"/>
        </w:rPr>
        <w:t>的</w:t>
      </w:r>
      <w:r>
        <w:rPr>
          <w:rStyle w:val="15"/>
          <w:rFonts w:hint="default" w:ascii="Times New Roman" w:hAnsi="Times New Roman" w:eastAsia="仿宋_GB2312" w:cs="Times New Roman"/>
          <w:b w:val="0"/>
          <w:i w:val="0"/>
          <w:caps w:val="0"/>
          <w:spacing w:val="0"/>
          <w:w w:val="100"/>
          <w:kern w:val="2"/>
          <w:sz w:val="32"/>
          <w:szCs w:val="24"/>
          <w:lang w:val="en-US" w:eastAsia="zh-CN" w:bidi="ar-SA"/>
        </w:rPr>
        <w:t>要求。</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eastAsia="黑体"/>
          <w:lang w:val="en-US"/>
        </w:rPr>
      </w:pPr>
      <w:r>
        <w:rPr>
          <w:rFonts w:hint="eastAsia" w:ascii="Times New Roman" w:hAnsi="Times New Roman" w:eastAsia="黑体" w:cs="黑体"/>
          <w:kern w:val="2"/>
          <w:sz w:val="32"/>
          <w:szCs w:val="24"/>
          <w:lang w:val="en-US" w:eastAsia="zh-CN" w:bidi="ar"/>
        </w:rPr>
        <w:t>四、问题及建议</w:t>
      </w:r>
    </w:p>
    <w:p>
      <w:pPr>
        <w:snapToGrid w:val="0"/>
        <w:spacing w:before="0" w:beforeAutospacing="0" w:after="0" w:afterAutospacing="0" w:line="560" w:lineRule="exact"/>
        <w:ind w:right="0" w:firstLine="640" w:firstLineChars="200"/>
        <w:jc w:val="both"/>
        <w:textAlignment w:val="baseline"/>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（一）存在的问题。</w:t>
      </w:r>
    </w:p>
    <w:p>
      <w:pPr>
        <w:snapToGrid w:val="0"/>
        <w:spacing w:before="0" w:beforeAutospacing="0" w:after="0" w:afterAutospacing="0" w:line="560" w:lineRule="exact"/>
        <w:ind w:right="0" w:firstLine="640" w:firstLineChars="200"/>
        <w:jc w:val="both"/>
        <w:textAlignment w:val="baseline"/>
        <w:rPr>
          <w:rFonts w:eastAsia="楷体_GB2312"/>
          <w:b w:val="0"/>
          <w:bCs/>
          <w:lang w:val="zh-CN" w:eastAsia="zh-CN"/>
        </w:rPr>
      </w:pPr>
      <w:r>
        <w:rPr>
          <w:rStyle w:val="15"/>
          <w:rFonts w:hint="default" w:ascii="Times New Roman" w:hAnsi="Times New Roman" w:eastAsia="仿宋_GB2312" w:cs="Times New Roman"/>
          <w:b w:val="0"/>
          <w:i w:val="0"/>
          <w:caps w:val="0"/>
          <w:spacing w:val="0"/>
          <w:w w:val="100"/>
          <w:kern w:val="2"/>
          <w:sz w:val="32"/>
          <w:szCs w:val="24"/>
          <w:lang w:val="en-US" w:eastAsia="zh-CN" w:bidi="ar-SA"/>
        </w:rPr>
        <w:t>因精神病患者个体疾病类型的差异和是否规律服药，救助资金使用上出现进度差异很大。</w:t>
      </w:r>
    </w:p>
    <w:p>
      <w:pPr>
        <w:keepNext w:val="0"/>
        <w:keepLines w:val="0"/>
        <w:widowControl w:val="0"/>
        <w:numPr>
          <w:ilvl w:val="0"/>
          <w:numId w:val="8"/>
        </w:numPr>
        <w:suppressLineNumbers w:val="0"/>
        <w:adjustRightInd w:val="0"/>
        <w:snapToGrid w:val="0"/>
        <w:spacing w:before="0" w:beforeAutospacing="0" w:after="0" w:afterAutospacing="0" w:line="580" w:lineRule="exact"/>
        <w:ind w:left="0" w:leftChars="0" w:right="0" w:firstLine="720" w:firstLineChars="0"/>
        <w:jc w:val="both"/>
        <w:rPr>
          <w:rFonts w:hint="eastAsia" w:ascii="Times New Roman" w:hAnsi="Times New Roman" w:eastAsia="楷体_GB2312" w:cs="楷体_GB2312"/>
          <w:b w:val="0"/>
          <w:bCs/>
          <w:kern w:val="2"/>
          <w:sz w:val="32"/>
          <w:szCs w:val="24"/>
          <w:lang w:val="zh-CN" w:eastAsia="zh-CN" w:bidi="ar"/>
        </w:rPr>
      </w:pPr>
      <w:r>
        <w:rPr>
          <w:rFonts w:hint="eastAsia" w:ascii="Times New Roman" w:hAnsi="Times New Roman" w:eastAsia="楷体_GB2312" w:cs="楷体_GB2312"/>
          <w:b w:val="0"/>
          <w:bCs/>
          <w:kern w:val="2"/>
          <w:sz w:val="32"/>
          <w:szCs w:val="24"/>
          <w:lang w:val="zh-CN" w:eastAsia="zh-CN" w:bidi="ar"/>
        </w:rPr>
        <w:t>相关建议。</w:t>
      </w:r>
    </w:p>
    <w:p>
      <w:pPr>
        <w:keepNext w:val="0"/>
        <w:keepLines w:val="0"/>
        <w:widowControl w:val="0"/>
        <w:numPr>
          <w:ilvl w:val="0"/>
          <w:numId w:val="0"/>
        </w:numPr>
        <w:suppressLineNumbers w:val="0"/>
        <w:adjustRightInd w:val="0"/>
        <w:snapToGrid w:val="0"/>
        <w:spacing w:before="0" w:beforeAutospacing="0" w:after="0" w:afterAutospacing="0" w:line="580" w:lineRule="exact"/>
        <w:ind w:right="0" w:rightChars="0" w:firstLine="640" w:firstLineChars="200"/>
        <w:jc w:val="both"/>
        <w:rPr>
          <w:rFonts w:hint="eastAsia" w:ascii="Times New Roman" w:hAnsi="Times New Roman" w:eastAsia="仿宋_GB2312" w:cs="仿宋_GB2312"/>
          <w:kern w:val="2"/>
          <w:sz w:val="32"/>
          <w:szCs w:val="24"/>
          <w:lang w:val="zh-CN" w:eastAsia="zh-CN" w:bidi="ar"/>
        </w:rPr>
      </w:pPr>
      <w:r>
        <w:rPr>
          <w:rStyle w:val="15"/>
          <w:rFonts w:hint="default" w:ascii="Times New Roman" w:hAnsi="Times New Roman" w:eastAsia="仿宋_GB2312" w:cs="Times New Roman"/>
          <w:b w:val="0"/>
          <w:i w:val="0"/>
          <w:caps w:val="0"/>
          <w:spacing w:val="0"/>
          <w:w w:val="100"/>
          <w:kern w:val="2"/>
          <w:sz w:val="32"/>
          <w:szCs w:val="24"/>
          <w:lang w:val="en-US" w:eastAsia="zh-CN" w:bidi="ar-SA"/>
        </w:rPr>
        <w:t>针对不同类型精神病患者的保障水平，进一步细化精神病患者服药救助标准。</w:t>
      </w: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eastAsia" w:ascii="仿宋_GB2312" w:hAnsi="仿宋_GB2312" w:cs="仿宋_GB2312"/>
          <w:b/>
          <w:bCs/>
          <w:sz w:val="32"/>
          <w:szCs w:val="32"/>
          <w:lang w:eastAsia="zh-CN"/>
        </w:rPr>
      </w:pPr>
    </w:p>
    <w:p>
      <w:pPr>
        <w:spacing w:line="580" w:lineRule="exact"/>
        <w:jc w:val="left"/>
        <w:rPr>
          <w:rFonts w:hint="default" w:ascii="仿宋_GB2312" w:hAnsi="仿宋_GB2312" w:eastAsia="仿宋_GB2312" w:cs="仿宋_GB2312"/>
          <w:sz w:val="32"/>
          <w:szCs w:val="32"/>
          <w:lang w:val="en-US" w:eastAsia="zh-CN"/>
        </w:rPr>
      </w:pPr>
      <w:r>
        <w:rPr>
          <w:rFonts w:hint="eastAsia" w:ascii="仿宋_GB2312" w:hAnsi="仿宋_GB2312" w:cs="仿宋_GB2312"/>
          <w:b/>
          <w:bCs/>
          <w:sz w:val="32"/>
          <w:szCs w:val="32"/>
          <w:lang w:eastAsia="zh-CN"/>
        </w:rPr>
        <w:t>附件</w:t>
      </w:r>
      <w:r>
        <w:rPr>
          <w:rFonts w:hint="eastAsia" w:ascii="仿宋_GB2312" w:hAnsi="仿宋_GB2312" w:cs="仿宋_GB2312"/>
          <w:b/>
          <w:bCs/>
          <w:sz w:val="32"/>
          <w:szCs w:val="32"/>
          <w:lang w:val="en-US" w:eastAsia="zh-CN"/>
        </w:rPr>
        <w:t>3</w:t>
      </w:r>
    </w:p>
    <w:tbl>
      <w:tblPr>
        <w:tblStyle w:val="12"/>
        <w:tblW w:w="13649" w:type="dxa"/>
        <w:jc w:val="center"/>
        <w:tblLayout w:type="autofit"/>
        <w:tblCellMar>
          <w:top w:w="0" w:type="dxa"/>
          <w:left w:w="108" w:type="dxa"/>
          <w:bottom w:w="0" w:type="dxa"/>
          <w:right w:w="108" w:type="dxa"/>
        </w:tblCellMar>
      </w:tblPr>
      <w:tblGrid>
        <w:gridCol w:w="2013"/>
        <w:gridCol w:w="765"/>
        <w:gridCol w:w="1110"/>
        <w:gridCol w:w="870"/>
        <w:gridCol w:w="883"/>
        <w:gridCol w:w="812"/>
        <w:gridCol w:w="322"/>
        <w:gridCol w:w="110"/>
        <w:gridCol w:w="128"/>
        <w:gridCol w:w="560"/>
        <w:gridCol w:w="319"/>
        <w:gridCol w:w="868"/>
        <w:gridCol w:w="265"/>
        <w:gridCol w:w="55"/>
        <w:gridCol w:w="247"/>
        <w:gridCol w:w="425"/>
        <w:gridCol w:w="142"/>
        <w:gridCol w:w="709"/>
        <w:gridCol w:w="995"/>
        <w:gridCol w:w="2051"/>
      </w:tblGrid>
      <w:tr>
        <w:tblPrEx>
          <w:tblCellMar>
            <w:top w:w="0" w:type="dxa"/>
            <w:left w:w="108" w:type="dxa"/>
            <w:bottom w:w="0" w:type="dxa"/>
            <w:right w:w="108" w:type="dxa"/>
          </w:tblCellMar>
        </w:tblPrEx>
        <w:trPr>
          <w:gridAfter w:val="6"/>
          <w:wAfter w:w="4569" w:type="dxa"/>
          <w:trHeight w:val="454" w:hRule="exact"/>
          <w:jc w:val="center"/>
        </w:trPr>
        <w:tc>
          <w:tcPr>
            <w:tcW w:w="9080"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b/>
                <w:bCs/>
                <w:kern w:val="0"/>
                <w:szCs w:val="30"/>
              </w:rPr>
            </w:pPr>
            <w:r>
              <w:rPr>
                <w:rFonts w:hint="eastAsia" w:eastAsia="方正小标宋简体"/>
                <w:bCs/>
                <w:color w:val="000000"/>
                <w:kern w:val="0"/>
                <w:sz w:val="30"/>
                <w:szCs w:val="30"/>
                <w:lang w:val="en-US" w:eastAsia="zh-CN"/>
              </w:rPr>
              <w:t xml:space="preserve">                              </w:t>
            </w: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gridAfter w:val="6"/>
          <w:wAfter w:w="4569" w:type="dxa"/>
          <w:trHeight w:val="201" w:hRule="atLeast"/>
          <w:jc w:val="center"/>
        </w:trPr>
        <w:tc>
          <w:tcPr>
            <w:tcW w:w="9080" w:type="dxa"/>
            <w:gridSpan w:val="14"/>
            <w:tcBorders>
              <w:top w:val="nil"/>
              <w:left w:val="nil"/>
              <w:bottom w:val="nil"/>
              <w:right w:val="nil"/>
            </w:tcBorders>
            <w:noWrap w:val="0"/>
            <w:vAlign w:val="top"/>
          </w:tcPr>
          <w:p>
            <w:pPr>
              <w:spacing w:beforeLines="0" w:afterLines="0"/>
              <w:jc w:val="center"/>
              <w:rPr>
                <w:rFonts w:hint="default" w:ascii="Times New Roman" w:hAnsi="Times New Roman" w:eastAsia="宋体" w:cs="Times New Roman"/>
                <w:b w:val="0"/>
                <w:i w:val="0"/>
                <w:caps w:val="0"/>
                <w:spacing w:val="0"/>
                <w:w w:val="100"/>
                <w:kern w:val="0"/>
                <w:sz w:val="22"/>
                <w:szCs w:val="24"/>
                <w:lang w:val="en-US" w:eastAsia="zh-CN" w:bidi="ar-SA"/>
              </w:rPr>
            </w:pPr>
            <w:r>
              <w:rPr>
                <w:rStyle w:val="15"/>
                <w:rFonts w:hint="eastAsia" w:ascii="宋体" w:eastAsia="宋体"/>
                <w:kern w:val="0"/>
                <w:sz w:val="22"/>
                <w:lang w:val="en-US" w:eastAsia="zh-CN"/>
              </w:rPr>
              <w:t xml:space="preserve">                                      </w:t>
            </w:r>
            <w:r>
              <w:rPr>
                <w:rStyle w:val="15"/>
                <w:rFonts w:hint="default" w:ascii="宋体" w:eastAsia="宋体"/>
                <w:kern w:val="0"/>
                <w:sz w:val="22"/>
              </w:rPr>
              <w:t>（202</w:t>
            </w:r>
            <w:r>
              <w:rPr>
                <w:rStyle w:val="15"/>
                <w:rFonts w:hint="eastAsia" w:ascii="宋体" w:eastAsia="宋体"/>
                <w:kern w:val="0"/>
                <w:sz w:val="22"/>
                <w:lang w:val="en-US" w:eastAsia="zh-CN"/>
              </w:rPr>
              <w:t>1</w:t>
            </w:r>
            <w:r>
              <w:rPr>
                <w:rStyle w:val="15"/>
                <w:rFonts w:hint="default" w:ascii="宋体" w:eastAsia="宋体"/>
                <w:kern w:val="0"/>
                <w:sz w:val="22"/>
              </w:rPr>
              <w:t>年度）</w:t>
            </w:r>
          </w:p>
        </w:tc>
      </w:tr>
      <w:tr>
        <w:tblPrEx>
          <w:tblCellMar>
            <w:top w:w="0" w:type="dxa"/>
            <w:left w:w="108" w:type="dxa"/>
            <w:bottom w:w="0" w:type="dxa"/>
            <w:right w:w="108" w:type="dxa"/>
          </w:tblCellMar>
        </w:tblPrEx>
        <w:trPr>
          <w:trHeight w:val="90" w:hRule="atLeast"/>
          <w:jc w:val="center"/>
        </w:trPr>
        <w:tc>
          <w:tcPr>
            <w:tcW w:w="6453" w:type="dxa"/>
            <w:gridSpan w:val="6"/>
            <w:noWrap w:val="0"/>
            <w:vAlign w:val="center"/>
          </w:tcPr>
          <w:p>
            <w:pPr>
              <w:spacing w:beforeLines="0" w:afterLines="0" w:line="240" w:lineRule="exact"/>
              <w:jc w:val="center"/>
              <w:rPr>
                <w:rFonts w:hint="default" w:ascii="Times New Roman" w:hAnsi="Times New Roman" w:eastAsia="宋体" w:cs="Times New Roman"/>
                <w:b w:val="0"/>
                <w:i w:val="0"/>
                <w:caps w:val="0"/>
                <w:color w:val="000000"/>
                <w:spacing w:val="0"/>
                <w:w w:val="100"/>
                <w:kern w:val="0"/>
                <w:sz w:val="18"/>
                <w:szCs w:val="18"/>
                <w:lang w:val="en-US" w:eastAsia="zh-CN" w:bidi="ar-SA"/>
              </w:rPr>
            </w:pPr>
          </w:p>
        </w:tc>
        <w:tc>
          <w:tcPr>
            <w:tcW w:w="560" w:type="dxa"/>
            <w:gridSpan w:val="3"/>
            <w:noWrap w:val="0"/>
            <w:vAlign w:val="center"/>
          </w:tcPr>
          <w:p>
            <w:pPr>
              <w:spacing w:beforeLines="0" w:afterLines="0" w:line="240" w:lineRule="exact"/>
              <w:jc w:val="both"/>
            </w:pPr>
          </w:p>
        </w:tc>
        <w:tc>
          <w:tcPr>
            <w:tcW w:w="560" w:type="dxa"/>
            <w:noWrap w:val="0"/>
            <w:vAlign w:val="center"/>
          </w:tcPr>
          <w:p>
            <w:pPr>
              <w:spacing w:beforeLines="0" w:afterLines="0" w:line="240" w:lineRule="exact"/>
              <w:jc w:val="both"/>
            </w:pPr>
          </w:p>
        </w:tc>
        <w:tc>
          <w:tcPr>
            <w:tcW w:w="1507" w:type="dxa"/>
            <w:gridSpan w:val="4"/>
            <w:noWrap w:val="0"/>
            <w:vAlign w:val="center"/>
          </w:tcPr>
          <w:p>
            <w:pPr>
              <w:spacing w:beforeLines="0" w:afterLines="0" w:line="240" w:lineRule="exact"/>
              <w:jc w:val="center"/>
            </w:pPr>
          </w:p>
        </w:tc>
        <w:tc>
          <w:tcPr>
            <w:tcW w:w="4569" w:type="dxa"/>
            <w:gridSpan w:val="6"/>
            <w:noWrap w:val="0"/>
            <w:vAlign w:val="center"/>
          </w:tcPr>
          <w:p>
            <w:pPr>
              <w:spacing w:beforeLines="0" w:afterLines="0" w:line="240" w:lineRule="exact"/>
              <w:jc w:val="both"/>
              <w:rPr>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项目名称</w:t>
            </w:r>
          </w:p>
        </w:tc>
        <w:tc>
          <w:tcPr>
            <w:tcW w:w="7710" w:type="dxa"/>
            <w:gridSpan w:val="16"/>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残疾人康复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主管部门</w:t>
            </w:r>
          </w:p>
        </w:tc>
        <w:tc>
          <w:tcPr>
            <w:tcW w:w="4004" w:type="dxa"/>
            <w:gridSpan w:val="8"/>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自贡市残疾人联合会</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实施单位</w:t>
            </w:r>
          </w:p>
        </w:tc>
        <w:tc>
          <w:tcPr>
            <w:tcW w:w="2573" w:type="dxa"/>
            <w:gridSpan w:val="6"/>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自贡市残疾人联合会（本级）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50" w:hRule="exact"/>
          <w:jc w:val="center"/>
        </w:trPr>
        <w:tc>
          <w:tcPr>
            <w:tcW w:w="1875" w:type="dxa"/>
            <w:gridSpan w:val="2"/>
            <w:vMerge w:val="restart"/>
            <w:tcBorders>
              <w:top w:val="single" w:color="000000" w:sz="4" w:space="0"/>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项目资金</w:t>
            </w:r>
            <w:r>
              <w:rPr>
                <w:rStyle w:val="15"/>
                <w:rFonts w:hint="eastAsia"/>
                <w:kern w:val="0"/>
                <w:sz w:val="18"/>
              </w:rPr>
              <w:br w:type="textWrapping"/>
            </w:r>
            <w:r>
              <w:rPr>
                <w:rStyle w:val="15"/>
                <w:rFonts w:hint="default" w:ascii="宋体" w:eastAsia="宋体"/>
                <w:kern w:val="0"/>
                <w:sz w:val="18"/>
              </w:rPr>
              <w:t>（万元）</w:t>
            </w: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年初预算数</w:t>
            </w: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全年预算数</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全年执行数</w:t>
            </w: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分值</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执行率</w:t>
            </w: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5" w:hRule="exact"/>
          <w:jc w:val="center"/>
        </w:trPr>
        <w:tc>
          <w:tcPr>
            <w:tcW w:w="1875" w:type="dxa"/>
            <w:gridSpan w:val="2"/>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rPr>
                <w:rStyle w:val="15"/>
                <w:rFonts w:hint="eastAsia"/>
                <w:kern w:val="0"/>
                <w:sz w:val="18"/>
              </w:rPr>
            </w:pPr>
            <w:r>
              <w:rPr>
                <w:rStyle w:val="15"/>
                <w:rFonts w:hint="default" w:ascii="宋体" w:eastAsia="宋体"/>
                <w:kern w:val="0"/>
                <w:sz w:val="18"/>
              </w:rPr>
              <w:t>年度资金总额</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其中：当年财政拨款</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25</w:t>
            </w: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 xml:space="preserve">      </w:t>
            </w:r>
            <w:r>
              <w:rPr>
                <w:rStyle w:val="15"/>
                <w:rFonts w:hint="default" w:ascii="宋体" w:eastAsia="宋体"/>
                <w:kern w:val="0"/>
                <w:sz w:val="18"/>
              </w:rPr>
              <w:t>上年结转资金</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1875" w:type="dxa"/>
            <w:gridSpan w:val="2"/>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53"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 xml:space="preserve">  </w:t>
            </w:r>
            <w:r>
              <w:rPr>
                <w:rStyle w:val="15"/>
                <w:rFonts w:hint="default" w:ascii="宋体" w:eastAsia="宋体"/>
                <w:kern w:val="0"/>
                <w:sz w:val="18"/>
              </w:rPr>
              <w:t>其他资金</w:t>
            </w:r>
          </w:p>
        </w:tc>
        <w:tc>
          <w:tcPr>
            <w:tcW w:w="1134"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7" w:type="dxa"/>
            <w:gridSpan w:val="4"/>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33"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72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c>
          <w:tcPr>
            <w:tcW w:w="851"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995"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635" w:hRule="exact"/>
          <w:jc w:val="center"/>
        </w:trPr>
        <w:tc>
          <w:tcPr>
            <w:tcW w:w="765"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年度总体目标</w:t>
            </w:r>
          </w:p>
        </w:tc>
        <w:tc>
          <w:tcPr>
            <w:tcW w:w="5114" w:type="dxa"/>
            <w:gridSpan w:val="9"/>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预期目标</w:t>
            </w:r>
          </w:p>
        </w:tc>
        <w:tc>
          <w:tcPr>
            <w:tcW w:w="3706" w:type="dxa"/>
            <w:gridSpan w:val="8"/>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765" w:hRule="exact"/>
          <w:jc w:val="center"/>
        </w:trPr>
        <w:tc>
          <w:tcPr>
            <w:tcW w:w="765"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114" w:type="dxa"/>
            <w:gridSpan w:val="9"/>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kern w:val="0"/>
                <w:sz w:val="18"/>
              </w:rPr>
            </w:pPr>
            <w:r>
              <w:rPr>
                <w:rStyle w:val="15"/>
                <w:rFonts w:hint="default" w:ascii="宋体" w:eastAsia="宋体"/>
                <w:kern w:val="0"/>
                <w:sz w:val="18"/>
              </w:rPr>
              <w:t>通过为贫困精神残疾人提供免费服药，减少精神残疾人痛苦，减轻残疾人经济负担。</w:t>
            </w:r>
            <w:r>
              <w:rPr>
                <w:rStyle w:val="15"/>
                <w:rFonts w:hint="default" w:ascii="宋体" w:eastAsia="宋体"/>
                <w:color w:val="000000"/>
                <w:kern w:val="0"/>
                <w:sz w:val="18"/>
              </w:rPr>
              <w:t>对残疾人康复机构开展康复效果评估。</w:t>
            </w:r>
          </w:p>
        </w:tc>
        <w:tc>
          <w:tcPr>
            <w:tcW w:w="3706" w:type="dxa"/>
            <w:gridSpan w:val="8"/>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kern w:val="0"/>
                <w:sz w:val="18"/>
              </w:rPr>
            </w:pPr>
            <w:r>
              <w:rPr>
                <w:rStyle w:val="15"/>
                <w:rFonts w:hint="default" w:ascii="宋体" w:eastAsia="宋体"/>
                <w:kern w:val="0"/>
                <w:sz w:val="18"/>
              </w:rPr>
              <w:t>为贫困精神残疾人提供免费服药，减少精神残疾人痛苦，减轻残疾人经济负担。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33"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default" w:ascii="宋体" w:eastAsia="宋体"/>
                <w:kern w:val="0"/>
                <w:sz w:val="18"/>
              </w:rPr>
            </w:pPr>
          </w:p>
          <w:p>
            <w:pPr>
              <w:spacing w:beforeLines="0" w:afterLines="0" w:line="240" w:lineRule="exact"/>
              <w:jc w:val="center"/>
              <w:rPr>
                <w:rStyle w:val="15"/>
                <w:rFonts w:hint="default" w:ascii="宋体" w:eastAsia="宋体"/>
                <w:kern w:val="0"/>
                <w:sz w:val="18"/>
              </w:rPr>
            </w:pPr>
          </w:p>
          <w:p>
            <w:pPr>
              <w:spacing w:beforeLines="0" w:afterLines="0" w:line="240" w:lineRule="exact"/>
              <w:jc w:val="center"/>
              <w:rPr>
                <w:rStyle w:val="15"/>
                <w:rFonts w:hint="default" w:ascii="宋体" w:eastAsia="宋体"/>
                <w:kern w:val="0"/>
                <w:sz w:val="18"/>
              </w:rPr>
            </w:pPr>
          </w:p>
          <w:p>
            <w:pPr>
              <w:spacing w:beforeLines="0" w:afterLines="0" w:line="240" w:lineRule="exact"/>
              <w:jc w:val="center"/>
              <w:rPr>
                <w:rStyle w:val="15"/>
                <w:rFonts w:hint="eastAsia"/>
                <w:kern w:val="0"/>
                <w:sz w:val="18"/>
              </w:rPr>
            </w:pPr>
            <w:r>
              <w:rPr>
                <w:rStyle w:val="15"/>
                <w:rFonts w:hint="default" w:ascii="宋体" w:eastAsia="宋体"/>
                <w:kern w:val="0"/>
                <w:sz w:val="18"/>
              </w:rPr>
              <w:t>绩</w:t>
            </w:r>
            <w:r>
              <w:rPr>
                <w:rStyle w:val="15"/>
                <w:rFonts w:hint="eastAsia"/>
                <w:kern w:val="0"/>
                <w:sz w:val="18"/>
              </w:rPr>
              <w:br w:type="textWrapping"/>
            </w:r>
            <w:r>
              <w:rPr>
                <w:rStyle w:val="15"/>
                <w:rFonts w:hint="default" w:ascii="宋体" w:eastAsia="宋体"/>
                <w:kern w:val="0"/>
                <w:sz w:val="18"/>
              </w:rPr>
              <w:t>效</w:t>
            </w:r>
            <w:r>
              <w:rPr>
                <w:rStyle w:val="15"/>
                <w:rFonts w:hint="eastAsia"/>
                <w:kern w:val="0"/>
                <w:sz w:val="18"/>
              </w:rPr>
              <w:br w:type="textWrapping"/>
            </w:r>
            <w:r>
              <w:rPr>
                <w:rStyle w:val="15"/>
                <w:rFonts w:hint="default" w:ascii="宋体" w:eastAsia="宋体"/>
                <w:kern w:val="0"/>
                <w:sz w:val="18"/>
              </w:rPr>
              <w:t>指</w:t>
            </w:r>
            <w:r>
              <w:rPr>
                <w:rStyle w:val="15"/>
                <w:rFonts w:hint="eastAsia"/>
                <w:kern w:val="0"/>
                <w:sz w:val="18"/>
              </w:rPr>
              <w:br w:type="textWrapping"/>
            </w:r>
            <w:r>
              <w:rPr>
                <w:rStyle w:val="15"/>
                <w:rFonts w:hint="default" w:ascii="宋体" w:eastAsia="宋体"/>
                <w:kern w:val="0"/>
                <w:sz w:val="18"/>
              </w:rPr>
              <w:t>标</w:t>
            </w:r>
          </w:p>
        </w:tc>
        <w:tc>
          <w:tcPr>
            <w:tcW w:w="1110"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一级指标</w:t>
            </w:r>
          </w:p>
        </w:tc>
        <w:tc>
          <w:tcPr>
            <w:tcW w:w="870"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二级指标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三级指标</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年度</w:t>
            </w:r>
          </w:p>
          <w:p>
            <w:pPr>
              <w:spacing w:beforeLines="0" w:afterLines="0" w:line="240" w:lineRule="exact"/>
              <w:jc w:val="center"/>
              <w:rPr>
                <w:rStyle w:val="15"/>
                <w:rFonts w:hint="eastAsia"/>
                <w:kern w:val="0"/>
                <w:sz w:val="18"/>
              </w:rPr>
            </w:pPr>
            <w:r>
              <w:rPr>
                <w:rStyle w:val="15"/>
                <w:rFonts w:hint="default" w:ascii="宋体" w:eastAsia="宋体"/>
                <w:kern w:val="0"/>
                <w:sz w:val="18"/>
              </w:rPr>
              <w:t>指标值</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实际</w:t>
            </w:r>
          </w:p>
          <w:p>
            <w:pPr>
              <w:spacing w:beforeLines="0" w:afterLines="0" w:line="240" w:lineRule="exact"/>
              <w:jc w:val="center"/>
              <w:rPr>
                <w:rStyle w:val="15"/>
                <w:rFonts w:hint="eastAsia"/>
                <w:kern w:val="0"/>
                <w:sz w:val="18"/>
              </w:rPr>
            </w:pPr>
            <w:r>
              <w:rPr>
                <w:rStyle w:val="15"/>
                <w:rFonts w:hint="default" w:ascii="宋体" w:eastAsia="宋体"/>
                <w:kern w:val="0"/>
                <w:sz w:val="18"/>
              </w:rPr>
              <w:t>完成值</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分值</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得分</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99"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指</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标</w:t>
            </w:r>
          </w:p>
        </w:tc>
        <w:tc>
          <w:tcPr>
            <w:tcW w:w="1110" w:type="dxa"/>
            <w:vMerge w:val="restart"/>
            <w:tcBorders>
              <w:top w:val="single" w:color="000000" w:sz="4" w:space="0"/>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完成指标（分值共50分）</w:t>
            </w:r>
          </w:p>
        </w:tc>
        <w:tc>
          <w:tcPr>
            <w:tcW w:w="870" w:type="dxa"/>
            <w:vMerge w:val="restart"/>
            <w:tcBorders>
              <w:top w:val="nil"/>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数量指标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指标1：得到贫困精神残疾人服药补贴人数</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400</w:t>
            </w:r>
            <w:r>
              <w:rPr>
                <w:rStyle w:val="15"/>
                <w:rFonts w:hint="default" w:ascii="宋体" w:eastAsia="宋体"/>
                <w:kern w:val="0"/>
                <w:sz w:val="18"/>
              </w:rPr>
              <w:t>人</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400</w:t>
            </w:r>
            <w:r>
              <w:rPr>
                <w:rStyle w:val="15"/>
                <w:rFonts w:hint="default" w:ascii="宋体" w:eastAsia="宋体"/>
                <w:kern w:val="0"/>
                <w:sz w:val="18"/>
              </w:rPr>
              <w:t>人</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707"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指标2：对残疾人康复机构开展康复效果评估</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8</w:t>
            </w:r>
            <w:r>
              <w:rPr>
                <w:rStyle w:val="15"/>
                <w:rFonts w:hint="default" w:ascii="宋体" w:eastAsia="宋体"/>
                <w:kern w:val="0"/>
                <w:sz w:val="18"/>
              </w:rPr>
              <w:t>个</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8</w:t>
            </w:r>
            <w:r>
              <w:rPr>
                <w:rStyle w:val="15"/>
                <w:rFonts w:hint="default" w:ascii="宋体" w:eastAsia="宋体"/>
                <w:kern w:val="0"/>
                <w:sz w:val="18"/>
              </w:rPr>
              <w:t>个</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质量指标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指标1：任务完成率</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07"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绩</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效</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指标</w:t>
            </w: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时效指标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指标1：项目完成时间</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202</w:t>
            </w:r>
            <w:r>
              <w:rPr>
                <w:rStyle w:val="15"/>
                <w:rFonts w:hint="eastAsia"/>
                <w:kern w:val="0"/>
                <w:sz w:val="18"/>
                <w:lang w:val="en-US" w:eastAsia="zh-CN"/>
              </w:rPr>
              <w:t>1</w:t>
            </w:r>
            <w:r>
              <w:rPr>
                <w:rStyle w:val="15"/>
                <w:rFonts w:hint="default" w:ascii="宋体" w:eastAsia="宋体"/>
                <w:kern w:val="0"/>
                <w:sz w:val="18"/>
              </w:rPr>
              <w:t>年底</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202</w:t>
            </w:r>
            <w:r>
              <w:rPr>
                <w:rStyle w:val="15"/>
                <w:rFonts w:hint="eastAsia"/>
                <w:kern w:val="0"/>
                <w:sz w:val="18"/>
                <w:lang w:val="en-US" w:eastAsia="zh-CN"/>
              </w:rPr>
              <w:t>1</w:t>
            </w:r>
            <w:r>
              <w:rPr>
                <w:rStyle w:val="15"/>
                <w:rFonts w:hint="default" w:ascii="宋体" w:eastAsia="宋体"/>
                <w:kern w:val="0"/>
                <w:sz w:val="18"/>
              </w:rPr>
              <w:t>年底</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471"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指</w:t>
            </w:r>
          </w:p>
          <w:p>
            <w:pPr>
              <w:spacing w:beforeLines="0" w:afterLines="0" w:line="240" w:lineRule="exact"/>
              <w:jc w:val="center"/>
              <w:rPr>
                <w:rStyle w:val="15"/>
                <w:rFonts w:hint="eastAsia" w:ascii="宋体" w:eastAsia="宋体"/>
                <w:kern w:val="0"/>
                <w:sz w:val="18"/>
                <w:szCs w:val="22"/>
                <w:lang w:eastAsia="zh-CN"/>
              </w:rPr>
            </w:pPr>
            <w:r>
              <w:rPr>
                <w:rStyle w:val="15"/>
                <w:rFonts w:hint="eastAsia" w:ascii="宋体" w:eastAsia="宋体"/>
                <w:kern w:val="0"/>
                <w:sz w:val="18"/>
                <w:szCs w:val="22"/>
                <w:lang w:eastAsia="zh-CN"/>
              </w:rPr>
              <w:t>标</w:t>
            </w: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restart"/>
            <w:tcBorders>
              <w:top w:val="nil"/>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成本指标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指标1：精神病残疾人服药补贴标准</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1000</w:t>
            </w:r>
            <w:r>
              <w:rPr>
                <w:rStyle w:val="15"/>
                <w:rFonts w:hint="default" w:ascii="宋体" w:eastAsia="宋体"/>
                <w:kern w:val="0"/>
                <w:sz w:val="18"/>
              </w:rPr>
              <w:t>元</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1000</w:t>
            </w:r>
            <w:r>
              <w:rPr>
                <w:rStyle w:val="15"/>
                <w:rFonts w:hint="default" w:ascii="宋体" w:eastAsia="宋体"/>
                <w:kern w:val="0"/>
                <w:sz w:val="18"/>
              </w:rPr>
              <w:t>元</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51"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ascii="宋体" w:eastAsia="宋体"/>
                <w:kern w:val="0"/>
                <w:sz w:val="18"/>
                <w:szCs w:val="22"/>
              </w:rPr>
            </w:pPr>
          </w:p>
        </w:tc>
        <w:tc>
          <w:tcPr>
            <w:tcW w:w="111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22"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restart"/>
            <w:tcBorders>
              <w:top w:val="single" w:color="000000" w:sz="4" w:space="0"/>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效益指标（分值共30分）</w:t>
            </w:r>
          </w:p>
        </w:tc>
        <w:tc>
          <w:tcPr>
            <w:tcW w:w="870"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社会效益</w:t>
            </w:r>
          </w:p>
          <w:p>
            <w:pPr>
              <w:spacing w:beforeLines="0" w:afterLines="0" w:line="240" w:lineRule="exact"/>
              <w:jc w:val="center"/>
              <w:rPr>
                <w:rStyle w:val="15"/>
                <w:rFonts w:hint="eastAsia"/>
                <w:kern w:val="0"/>
                <w:sz w:val="18"/>
              </w:rPr>
            </w:pPr>
            <w:r>
              <w:rPr>
                <w:rStyle w:val="15"/>
                <w:rFonts w:hint="default" w:ascii="宋体" w:eastAsia="宋体"/>
                <w:kern w:val="0"/>
                <w:sz w:val="18"/>
              </w:rPr>
              <w:t>指标</w:t>
            </w:r>
          </w:p>
        </w:tc>
        <w:tc>
          <w:tcPr>
            <w:tcW w:w="2127" w:type="dxa"/>
            <w:gridSpan w:val="4"/>
            <w:tcBorders>
              <w:top w:val="single" w:color="000000" w:sz="4" w:space="0"/>
              <w:left w:val="nil"/>
              <w:bottom w:val="nil"/>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指标1：残疾人康复服务水平</w:t>
            </w:r>
          </w:p>
        </w:tc>
        <w:tc>
          <w:tcPr>
            <w:tcW w:w="10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有所提高</w:t>
            </w:r>
          </w:p>
        </w:tc>
        <w:tc>
          <w:tcPr>
            <w:tcW w:w="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有所提高</w:t>
            </w:r>
          </w:p>
        </w:tc>
        <w:tc>
          <w:tcPr>
            <w:tcW w:w="5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w:t>
            </w:r>
          </w:p>
        </w:tc>
        <w:tc>
          <w:tcPr>
            <w:tcW w:w="10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5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511"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continue"/>
            <w:tcBorders>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restart"/>
            <w:tcBorders>
              <w:top w:val="nil"/>
              <w:left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可持续影响指标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指标1：提高残疾人生活水平</w:t>
            </w:r>
          </w:p>
        </w:tc>
        <w:tc>
          <w:tcPr>
            <w:tcW w:w="1007" w:type="dxa"/>
            <w:gridSpan w:val="3"/>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868"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567" w:type="dxa"/>
            <w:gridSpan w:val="3"/>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642"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870"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指标2：提高残疾人融入社会能力</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中长期</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814" w:hRule="exact"/>
          <w:jc w:val="center"/>
        </w:trPr>
        <w:tc>
          <w:tcPr>
            <w:tcW w:w="765" w:type="dxa"/>
            <w:tcBorders>
              <w:top w:val="nil"/>
              <w:left w:val="single" w:color="000000" w:sz="4" w:space="0"/>
              <w:bottom w:val="nil"/>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满意度</w:t>
            </w:r>
          </w:p>
          <w:p>
            <w:pPr>
              <w:spacing w:beforeLines="0" w:afterLines="0" w:line="240" w:lineRule="exact"/>
              <w:jc w:val="center"/>
              <w:rPr>
                <w:rStyle w:val="15"/>
                <w:rFonts w:hint="eastAsia"/>
                <w:kern w:val="0"/>
                <w:sz w:val="18"/>
              </w:rPr>
            </w:pPr>
            <w:r>
              <w:rPr>
                <w:rStyle w:val="15"/>
                <w:rFonts w:hint="default" w:ascii="宋体" w:eastAsia="宋体"/>
                <w:kern w:val="0"/>
                <w:sz w:val="18"/>
              </w:rPr>
              <w:t>指标（分值共10分）</w:t>
            </w:r>
          </w:p>
        </w:tc>
        <w:tc>
          <w:tcPr>
            <w:tcW w:w="87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default" w:ascii="宋体" w:eastAsia="宋体"/>
                <w:kern w:val="0"/>
                <w:sz w:val="18"/>
              </w:rPr>
              <w:t>服务对象满意度指标</w:t>
            </w:r>
          </w:p>
        </w:tc>
        <w:tc>
          <w:tcPr>
            <w:tcW w:w="2127" w:type="dxa"/>
            <w:gridSpan w:val="4"/>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left"/>
              <w:rPr>
                <w:rStyle w:val="15"/>
                <w:rFonts w:hint="eastAsia"/>
                <w:color w:val="000000"/>
                <w:kern w:val="0"/>
                <w:sz w:val="18"/>
              </w:rPr>
            </w:pPr>
            <w:r>
              <w:rPr>
                <w:rStyle w:val="15"/>
                <w:rFonts w:hint="default" w:ascii="宋体" w:eastAsia="宋体"/>
                <w:color w:val="000000"/>
                <w:kern w:val="0"/>
                <w:sz w:val="18"/>
              </w:rPr>
              <w:t>指标1：残疾人及残疾人家属满意度</w:t>
            </w:r>
          </w:p>
        </w:tc>
        <w:tc>
          <w:tcPr>
            <w:tcW w:w="100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≥90%</w:t>
            </w:r>
          </w:p>
        </w:tc>
        <w:tc>
          <w:tcPr>
            <w:tcW w:w="868" w:type="dxa"/>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≥90%</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10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r>
              <w:rPr>
                <w:rStyle w:val="15"/>
                <w:rFonts w:hint="eastAsia"/>
                <w:kern w:val="0"/>
                <w:sz w:val="18"/>
              </w:rPr>
              <w:t>9</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013" w:type="dxa"/>
          <w:wAfter w:w="2051" w:type="dxa"/>
          <w:trHeight w:val="300" w:hRule="exact"/>
          <w:jc w:val="center"/>
        </w:trPr>
        <w:tc>
          <w:tcPr>
            <w:tcW w:w="674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color w:val="000000"/>
                <w:kern w:val="0"/>
                <w:sz w:val="18"/>
              </w:rPr>
            </w:pPr>
            <w:r>
              <w:rPr>
                <w:rStyle w:val="15"/>
                <w:rFonts w:hint="default" w:ascii="宋体" w:eastAsia="宋体"/>
                <w:color w:val="000000"/>
                <w:kern w:val="0"/>
                <w:sz w:val="18"/>
              </w:rPr>
              <w:t>总分</w:t>
            </w:r>
          </w:p>
        </w:tc>
        <w:tc>
          <w:tcPr>
            <w:tcW w:w="567" w:type="dxa"/>
            <w:gridSpan w:val="3"/>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color w:val="000000"/>
                <w:kern w:val="0"/>
                <w:sz w:val="18"/>
              </w:rPr>
            </w:pPr>
            <w:r>
              <w:rPr>
                <w:rStyle w:val="15"/>
                <w:rFonts w:hint="eastAsia"/>
                <w:color w:val="000000"/>
                <w:kern w:val="0"/>
                <w:sz w:val="18"/>
              </w:rPr>
              <w:t>100</w:t>
            </w:r>
          </w:p>
        </w:tc>
        <w:tc>
          <w:tcPr>
            <w:tcW w:w="567" w:type="dxa"/>
            <w:gridSpan w:val="2"/>
            <w:tcBorders>
              <w:top w:val="nil"/>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color w:val="000000"/>
                <w:kern w:val="0"/>
                <w:sz w:val="18"/>
              </w:rPr>
            </w:pPr>
            <w:r>
              <w:rPr>
                <w:rStyle w:val="15"/>
                <w:rFonts w:hint="eastAsia"/>
                <w:color w:val="000000"/>
                <w:kern w:val="0"/>
                <w:sz w:val="18"/>
              </w:rPr>
              <w:t>99</w:t>
            </w:r>
          </w:p>
        </w:tc>
        <w:tc>
          <w:tcPr>
            <w:tcW w:w="1704" w:type="dxa"/>
            <w:gridSpan w:val="2"/>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240" w:lineRule="exact"/>
              <w:jc w:val="center"/>
              <w:rPr>
                <w:rStyle w:val="15"/>
                <w:rFonts w:hint="eastAsia"/>
                <w:kern w:val="0"/>
                <w:sz w:val="18"/>
              </w:rPr>
            </w:pPr>
          </w:p>
        </w:tc>
      </w:tr>
    </w:tbl>
    <w:p>
      <w:pPr>
        <w:widowControl/>
        <w:spacing w:line="240" w:lineRule="exact"/>
        <w:ind w:firstLine="360" w:firstLineChars="20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hint="eastAsia" w:ascii="宋体" w:hAnsi="宋体" w:eastAsia="宋体" w:cs="宋体"/>
          <w:kern w:val="0"/>
          <w:sz w:val="18"/>
          <w:szCs w:val="18"/>
          <w:lang w:val="en-US" w:eastAsia="zh-CN"/>
        </w:rPr>
        <w:t>0分</w:t>
      </w:r>
    </w:p>
    <w:p>
      <w:pPr>
        <w:pStyle w:val="2"/>
        <w:rPr>
          <w:rFonts w:hint="eastAsia" w:ascii="宋体" w:hAnsi="宋体" w:eastAsia="宋体" w:cs="宋体"/>
          <w:kern w:val="0"/>
          <w:sz w:val="18"/>
          <w:szCs w:val="18"/>
          <w:lang w:val="en-US" w:eastAsia="zh-CN"/>
        </w:rPr>
      </w:pPr>
    </w:p>
    <w:p>
      <w:pPr>
        <w:pStyle w:val="4"/>
        <w:ind w:left="0" w:leftChars="0" w:firstLine="0" w:firstLineChars="0"/>
        <w:jc w:val="both"/>
        <w:rPr>
          <w:rFonts w:hint="eastAsia"/>
          <w:b/>
          <w:bCs/>
          <w:lang w:val="en-US" w:eastAsia="zh-CN"/>
        </w:rPr>
      </w:pPr>
    </w:p>
    <w:p>
      <w:pPr>
        <w:pStyle w:val="4"/>
        <w:ind w:left="0" w:leftChars="0" w:firstLine="0" w:firstLineChars="0"/>
        <w:jc w:val="both"/>
        <w:rPr>
          <w:rFonts w:hint="default"/>
          <w:b/>
          <w:bCs/>
          <w:lang w:val="en-US" w:eastAsia="zh-CN"/>
        </w:rPr>
      </w:pPr>
      <w:r>
        <w:rPr>
          <w:rFonts w:hint="eastAsia"/>
          <w:b/>
          <w:bCs/>
          <w:lang w:val="en-US" w:eastAsia="zh-CN"/>
        </w:rPr>
        <w:t>附件3</w:t>
      </w:r>
    </w:p>
    <w:p>
      <w:pPr>
        <w:widowControl/>
        <w:spacing w:line="240" w:lineRule="exact"/>
        <w:ind w:firstLine="360" w:firstLineChars="200"/>
        <w:rPr>
          <w:rFonts w:ascii="宋体" w:hAnsi="宋体" w:eastAsia="宋体" w:cs="宋体"/>
          <w:kern w:val="0"/>
          <w:sz w:val="18"/>
          <w:szCs w:val="18"/>
        </w:rPr>
      </w:pPr>
    </w:p>
    <w:tbl>
      <w:tblPr>
        <w:tblStyle w:val="12"/>
        <w:tblW w:w="97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670"/>
        <w:gridCol w:w="1145"/>
        <w:gridCol w:w="1169"/>
        <w:gridCol w:w="1199"/>
        <w:gridCol w:w="302"/>
        <w:gridCol w:w="930"/>
        <w:gridCol w:w="886"/>
        <w:gridCol w:w="117"/>
        <w:gridCol w:w="491"/>
        <w:gridCol w:w="231"/>
        <w:gridCol w:w="391"/>
        <w:gridCol w:w="599"/>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762" w:type="dxa"/>
            <w:gridSpan w:val="14"/>
            <w:tcBorders>
              <w:top w:val="nil"/>
              <w:left w:val="nil"/>
              <w:bottom w:val="nil"/>
              <w:right w:val="nil"/>
            </w:tcBorders>
            <w:noWrap w:val="0"/>
            <w:vAlign w:val="center"/>
          </w:tcPr>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9762" w:type="dxa"/>
            <w:gridSpan w:val="14"/>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ascii="Times New Roman" w:hAnsi="Times New Roman"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8465" w:type="dxa"/>
            <w:gridSpan w:val="1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440" w:firstLineChars="800"/>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残疾人就业扶贫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745"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717"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r>
              <w:rPr>
                <w:rStyle w:val="15"/>
                <w:rFonts w:hint="eastAsia" w:ascii="Times New Roman" w:hAnsi="Times New Roman" w:eastAsia="宋体" w:cs="Times New Roman"/>
                <w:b w:val="0"/>
                <w:i w:val="0"/>
                <w:caps w:val="0"/>
                <w:spacing w:val="0"/>
                <w:w w:val="100"/>
                <w:kern w:val="0"/>
                <w:sz w:val="18"/>
                <w:szCs w:val="18"/>
                <w:lang w:val="en-US" w:eastAsia="zh-CN" w:bidi="ar-SA"/>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9</w:t>
            </w: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exact"/>
          <w:jc w:val="center"/>
        </w:trPr>
        <w:tc>
          <w:tcPr>
            <w:tcW w:w="129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31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99"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99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27"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415"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720"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2" w:hRule="exact"/>
          <w:jc w:val="center"/>
        </w:trPr>
        <w:tc>
          <w:tcPr>
            <w:tcW w:w="627"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415"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用于超比例安排残疾人就业单位奖励、残疾人“双创”示范基地补贴</w:t>
            </w:r>
            <w:r>
              <w:rPr>
                <w:rStyle w:val="15"/>
                <w:rFonts w:hint="eastAsia" w:ascii="Times New Roman" w:hAnsi="Times New Roman" w:eastAsia="宋体" w:cs="Times New Roman"/>
                <w:b w:val="0"/>
                <w:i w:val="0"/>
                <w:caps w:val="0"/>
                <w:spacing w:val="0"/>
                <w:w w:val="100"/>
                <w:kern w:val="0"/>
                <w:sz w:val="18"/>
                <w:szCs w:val="18"/>
                <w:lang w:val="en-US" w:eastAsia="zh-CN" w:bidi="ar-SA"/>
              </w:rPr>
              <w:t>，</w:t>
            </w:r>
            <w:r>
              <w:rPr>
                <w:rStyle w:val="15"/>
                <w:rFonts w:hint="default" w:ascii="Times New Roman" w:hAnsi="Times New Roman" w:eastAsia="宋体" w:cs="Times New Roman"/>
                <w:b w:val="0"/>
                <w:i w:val="0"/>
                <w:caps w:val="0"/>
                <w:spacing w:val="0"/>
                <w:w w:val="100"/>
                <w:kern w:val="0"/>
                <w:sz w:val="18"/>
                <w:szCs w:val="18"/>
                <w:lang w:val="en-US" w:eastAsia="zh-CN" w:bidi="ar-SA"/>
              </w:rPr>
              <w:t>进一步拓宽残疾人就业创业渠道</w:t>
            </w:r>
            <w:r>
              <w:rPr>
                <w:rStyle w:val="15"/>
                <w:rFonts w:hint="eastAsia" w:ascii="Times New Roman" w:hAnsi="Times New Roman" w:eastAsia="宋体" w:cs="Times New Roman"/>
                <w:b w:val="0"/>
                <w:i w:val="0"/>
                <w:caps w:val="0"/>
                <w:spacing w:val="0"/>
                <w:w w:val="100"/>
                <w:kern w:val="0"/>
                <w:sz w:val="18"/>
                <w:szCs w:val="18"/>
                <w:lang w:val="en-US" w:eastAsia="zh-CN" w:bidi="ar-SA"/>
              </w:rPr>
              <w:t>。</w:t>
            </w:r>
          </w:p>
        </w:tc>
        <w:tc>
          <w:tcPr>
            <w:tcW w:w="3720"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为</w:t>
            </w:r>
            <w:r>
              <w:rPr>
                <w:rStyle w:val="15"/>
                <w:rFonts w:hint="default" w:ascii="Times New Roman" w:hAnsi="Times New Roman" w:eastAsia="宋体" w:cs="Times New Roman"/>
                <w:b w:val="0"/>
                <w:i w:val="0"/>
                <w:caps w:val="0"/>
                <w:spacing w:val="0"/>
                <w:w w:val="100"/>
                <w:kern w:val="0"/>
                <w:sz w:val="18"/>
                <w:szCs w:val="18"/>
                <w:lang w:val="en-US" w:eastAsia="zh-CN" w:bidi="ar-SA"/>
              </w:rPr>
              <w:t>超比例安排残疾人就业单位</w:t>
            </w:r>
            <w:r>
              <w:rPr>
                <w:rStyle w:val="15"/>
                <w:rFonts w:hint="eastAsia" w:ascii="Times New Roman" w:hAnsi="Times New Roman" w:eastAsia="宋体" w:cs="Times New Roman"/>
                <w:b w:val="0"/>
                <w:i w:val="0"/>
                <w:caps w:val="0"/>
                <w:spacing w:val="0"/>
                <w:w w:val="100"/>
                <w:kern w:val="0"/>
                <w:sz w:val="18"/>
                <w:szCs w:val="18"/>
                <w:lang w:val="en-US" w:eastAsia="zh-CN" w:bidi="ar-SA"/>
              </w:rPr>
              <w:t>发放</w:t>
            </w:r>
            <w:r>
              <w:rPr>
                <w:rStyle w:val="15"/>
                <w:rFonts w:hint="default" w:ascii="Times New Roman" w:hAnsi="Times New Roman" w:eastAsia="宋体" w:cs="Times New Roman"/>
                <w:b w:val="0"/>
                <w:i w:val="0"/>
                <w:caps w:val="0"/>
                <w:spacing w:val="0"/>
                <w:w w:val="100"/>
                <w:kern w:val="0"/>
                <w:sz w:val="18"/>
                <w:szCs w:val="18"/>
                <w:lang w:val="en-US" w:eastAsia="zh-CN" w:bidi="ar-SA"/>
              </w:rPr>
              <w:t>奖励、残疾人“双创”示范基地</w:t>
            </w:r>
            <w:r>
              <w:rPr>
                <w:rStyle w:val="15"/>
                <w:rFonts w:hint="eastAsia" w:ascii="Times New Roman" w:hAnsi="Times New Roman" w:eastAsia="宋体" w:cs="Times New Roman"/>
                <w:b w:val="0"/>
                <w:i w:val="0"/>
                <w:caps w:val="0"/>
                <w:spacing w:val="0"/>
                <w:w w:val="100"/>
                <w:kern w:val="0"/>
                <w:sz w:val="18"/>
                <w:szCs w:val="18"/>
                <w:lang w:val="en-US" w:eastAsia="zh-CN" w:bidi="ar-SA"/>
              </w:rPr>
              <w:t>发放</w:t>
            </w:r>
            <w:r>
              <w:rPr>
                <w:rStyle w:val="15"/>
                <w:rFonts w:hint="default" w:ascii="Times New Roman" w:hAnsi="Times New Roman" w:eastAsia="宋体" w:cs="Times New Roman"/>
                <w:b w:val="0"/>
                <w:i w:val="0"/>
                <w:caps w:val="0"/>
                <w:spacing w:val="0"/>
                <w:w w:val="100"/>
                <w:kern w:val="0"/>
                <w:sz w:val="18"/>
                <w:szCs w:val="18"/>
                <w:lang w:val="en-US" w:eastAsia="zh-CN" w:bidi="ar-SA"/>
              </w:rPr>
              <w:t>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627"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67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14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145"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奖励超比例安置残疾人就业单位个数</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10个</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10个</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指标2：补助残疾人“双创”示范基地数量</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2个</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2个</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成本指标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指标1：残疾人“双创”示范基地补助标准</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30000元</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30000元</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指标2：用人单位超比例安排残疾人奖励标准</w:t>
            </w:r>
          </w:p>
        </w:tc>
        <w:tc>
          <w:tcPr>
            <w:tcW w:w="93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1000元/人</w:t>
            </w:r>
          </w:p>
        </w:tc>
        <w:tc>
          <w:tcPr>
            <w:tcW w:w="88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1000元/人</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145"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2670"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提高残疾人就业率，</w:t>
            </w: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为实现其稳定生活提供有效保障。</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拓宽残疾人就业渠道</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jc w:val="center"/>
        </w:trPr>
        <w:tc>
          <w:tcPr>
            <w:tcW w:w="627"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70" w:type="dxa"/>
            <w:vMerge w:val="continue"/>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45"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267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指标1：完善残疾人</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就业</w:t>
            </w: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保障体系</w:t>
            </w:r>
          </w:p>
        </w:tc>
        <w:tc>
          <w:tcPr>
            <w:tcW w:w="93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886"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608"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仿宋_GB2312" w:cs="Times New Roman"/>
                <w:b w:val="0"/>
                <w:i w:val="0"/>
                <w:caps w:val="0"/>
                <w:spacing w:val="0"/>
                <w:w w:val="100"/>
                <w:kern w:val="2"/>
                <w:sz w:val="3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exact"/>
          <w:jc w:val="center"/>
        </w:trPr>
        <w:tc>
          <w:tcPr>
            <w:tcW w:w="627"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满意度指标 （分值共10分）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2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指标1：残疾人及残疾人家属满意度</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exact"/>
          <w:jc w:val="center"/>
        </w:trPr>
        <w:tc>
          <w:tcPr>
            <w:tcW w:w="692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总分</w:t>
            </w:r>
          </w:p>
        </w:tc>
        <w:tc>
          <w:tcPr>
            <w:tcW w:w="60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62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99</w:t>
            </w:r>
          </w:p>
        </w:tc>
        <w:tc>
          <w:tcPr>
            <w:tcW w:w="160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bl>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pStyle w:val="2"/>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4"/>
        <w:rPr>
          <w:rStyle w:val="15"/>
          <w:rFonts w:hint="default" w:ascii="Times New Roman" w:hAnsi="Times New Roman" w:eastAsia="宋体" w:cs="Times New Roman"/>
          <w:b w:val="0"/>
          <w:i w:val="0"/>
          <w:caps w:val="0"/>
          <w:spacing w:val="0"/>
          <w:w w:val="100"/>
          <w:kern w:val="0"/>
          <w:sz w:val="18"/>
          <w:szCs w:val="18"/>
          <w:lang w:val="en-US" w:eastAsia="zh-CN" w:bidi="ar-SA"/>
        </w:rPr>
      </w:pPr>
    </w:p>
    <w:p>
      <w:pPr>
        <w:rPr>
          <w:rFonts w:hint="default"/>
          <w:b/>
          <w:bCs/>
          <w:lang w:val="en-US" w:eastAsia="zh-CN"/>
        </w:rPr>
      </w:pPr>
      <w:r>
        <w:rPr>
          <w:rFonts w:hint="eastAsia"/>
          <w:b/>
          <w:bCs/>
          <w:lang w:val="en-US" w:eastAsia="zh-CN"/>
        </w:rPr>
        <w:t>附件3</w:t>
      </w:r>
    </w:p>
    <w:p>
      <w:pPr>
        <w:widowControl/>
        <w:spacing w:line="240" w:lineRule="exact"/>
        <w:ind w:firstLine="360" w:firstLineChars="200"/>
        <w:rPr>
          <w:rFonts w:ascii="宋体" w:hAnsi="宋体" w:eastAsia="宋体" w:cs="宋体"/>
          <w:kern w:val="0"/>
          <w:sz w:val="18"/>
          <w:szCs w:val="18"/>
        </w:rPr>
      </w:pPr>
    </w:p>
    <w:p>
      <w:pPr>
        <w:widowControl/>
        <w:spacing w:line="240" w:lineRule="exact"/>
        <w:ind w:firstLine="360" w:firstLineChars="200"/>
        <w:rPr>
          <w:rFonts w:ascii="宋体" w:hAnsi="宋体" w:eastAsia="宋体" w:cs="宋体"/>
          <w:kern w:val="0"/>
          <w:sz w:val="18"/>
          <w:szCs w:val="18"/>
        </w:rPr>
      </w:pPr>
    </w:p>
    <w:tbl>
      <w:tblPr>
        <w:tblStyle w:val="12"/>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8"/>
        <w:gridCol w:w="980"/>
        <w:gridCol w:w="996"/>
        <w:gridCol w:w="846"/>
        <w:gridCol w:w="1134"/>
        <w:gridCol w:w="110"/>
        <w:gridCol w:w="1024"/>
        <w:gridCol w:w="851"/>
        <w:gridCol w:w="377"/>
        <w:gridCol w:w="248"/>
        <w:gridCol w:w="367"/>
        <w:gridCol w:w="263"/>
        <w:gridCol w:w="588"/>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479" w:type="dxa"/>
            <w:gridSpan w:val="14"/>
            <w:tcBorders>
              <w:top w:val="nil"/>
              <w:left w:val="nil"/>
              <w:bottom w:val="nil"/>
              <w:right w:val="nil"/>
            </w:tcBorders>
            <w:noWrap w:val="0"/>
            <w:vAlign w:val="center"/>
          </w:tcPr>
          <w:p>
            <w:pPr>
              <w:widowControl/>
              <w:snapToGrid/>
              <w:spacing w:before="0" w:beforeAutospacing="0" w:after="0" w:afterAutospacing="0" w:line="320" w:lineRule="exact"/>
              <w:ind w:firstLine="2880" w:firstLineChars="900"/>
              <w:jc w:val="both"/>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479" w:type="dxa"/>
            <w:gridSpan w:val="14"/>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ascii="Times New Roman" w:hAnsi="Times New Roman"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911" w:type="dxa"/>
            <w:gridSpan w:val="1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260" w:firstLineChars="700"/>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残疾人文体宣传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110"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573"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r>
              <w:rPr>
                <w:rStyle w:val="15"/>
                <w:rFonts w:hint="eastAsia" w:ascii="Times New Roman" w:hAnsi="Times New Roman" w:eastAsia="宋体" w:cs="Times New Roman"/>
                <w:b w:val="0"/>
                <w:i w:val="0"/>
                <w:caps w:val="0"/>
                <w:spacing w:val="0"/>
                <w:w w:val="100"/>
                <w:kern w:val="0"/>
                <w:sz w:val="18"/>
                <w:szCs w:val="18"/>
                <w:lang w:val="en-US" w:eastAsia="zh-CN" w:bidi="ar-SA"/>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27.22</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28"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0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090"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8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exact"/>
          <w:jc w:val="center"/>
        </w:trPr>
        <w:tc>
          <w:tcPr>
            <w:tcW w:w="588"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90"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继续</w:t>
            </w:r>
            <w:r>
              <w:rPr>
                <w:rStyle w:val="15"/>
                <w:rFonts w:hint="default" w:ascii="Times New Roman" w:hAnsi="Times New Roman" w:eastAsia="宋体" w:cs="Times New Roman"/>
                <w:b w:val="0"/>
                <w:i w:val="0"/>
                <w:caps w:val="0"/>
                <w:spacing w:val="0"/>
                <w:w w:val="100"/>
                <w:kern w:val="0"/>
                <w:sz w:val="18"/>
                <w:szCs w:val="18"/>
                <w:lang w:val="en-US" w:eastAsia="zh-CN" w:bidi="ar-SA"/>
              </w:rPr>
              <w:t>与《自贡日报》合作，扩大宣传残疾人事业的影响力</w:t>
            </w:r>
            <w:r>
              <w:rPr>
                <w:rStyle w:val="15"/>
                <w:rFonts w:hint="eastAsia" w:ascii="Times New Roman" w:hAnsi="Times New Roman" w:eastAsia="宋体" w:cs="Times New Roman"/>
                <w:b w:val="0"/>
                <w:i w:val="0"/>
                <w:caps w:val="0"/>
                <w:spacing w:val="0"/>
                <w:w w:val="100"/>
                <w:kern w:val="0"/>
                <w:sz w:val="18"/>
                <w:szCs w:val="18"/>
                <w:lang w:val="en-US" w:eastAsia="zh-CN" w:bidi="ar-SA"/>
              </w:rPr>
              <w:t>，</w:t>
            </w:r>
            <w:r>
              <w:rPr>
                <w:rStyle w:val="15"/>
                <w:rFonts w:hint="default" w:ascii="Times New Roman" w:hAnsi="Times New Roman" w:eastAsia="宋体" w:cs="Times New Roman"/>
                <w:b w:val="0"/>
                <w:i w:val="0"/>
                <w:caps w:val="0"/>
                <w:spacing w:val="0"/>
                <w:w w:val="100"/>
                <w:kern w:val="0"/>
                <w:sz w:val="18"/>
                <w:szCs w:val="18"/>
                <w:lang w:val="en-US" w:eastAsia="zh-CN" w:bidi="ar-SA"/>
              </w:rPr>
              <w:t>倡导形成扶残助残的良好风尚；残疾人硬地滚球项目训练经费，逐步拓宽残疾人体育锻炼参与率与覆盖面。</w:t>
            </w:r>
          </w:p>
        </w:tc>
        <w:tc>
          <w:tcPr>
            <w:tcW w:w="38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在</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《自贡日报》、“自贡网”上报道深度新闻15篇，</w:t>
            </w:r>
            <w:r>
              <w:rPr>
                <w:rStyle w:val="15"/>
                <w:rFonts w:hint="default" w:ascii="Times New Roman" w:hAnsi="Times New Roman" w:eastAsia="宋体" w:cs="Times New Roman"/>
                <w:b w:val="0"/>
                <w:i w:val="0"/>
                <w:caps w:val="0"/>
                <w:spacing w:val="0"/>
                <w:w w:val="100"/>
                <w:kern w:val="0"/>
                <w:sz w:val="18"/>
                <w:szCs w:val="18"/>
                <w:lang w:val="en-US" w:eastAsia="zh-CN" w:bidi="ar-SA"/>
              </w:rPr>
              <w:t>扩大</w:t>
            </w:r>
            <w:r>
              <w:rPr>
                <w:rStyle w:val="15"/>
                <w:rFonts w:hint="eastAsia" w:ascii="Times New Roman" w:hAnsi="Times New Roman"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宣传残疾人事业的影响力；</w:t>
            </w:r>
            <w:r>
              <w:rPr>
                <w:rStyle w:val="15"/>
                <w:rFonts w:hint="eastAsia" w:ascii="Times New Roman" w:hAnsi="Times New Roman" w:eastAsia="宋体" w:cs="Times New Roman"/>
                <w:b w:val="0"/>
                <w:i w:val="0"/>
                <w:caps w:val="0"/>
                <w:spacing w:val="0"/>
                <w:w w:val="100"/>
                <w:kern w:val="0"/>
                <w:sz w:val="18"/>
                <w:szCs w:val="18"/>
                <w:lang w:val="en-US" w:eastAsia="zh-CN" w:bidi="ar-SA"/>
              </w:rPr>
              <w:t>开展</w:t>
            </w:r>
            <w:r>
              <w:rPr>
                <w:rStyle w:val="15"/>
                <w:rFonts w:hint="default" w:ascii="Times New Roman" w:hAnsi="Times New Roman" w:eastAsia="宋体" w:cs="Times New Roman"/>
                <w:b w:val="0"/>
                <w:i w:val="0"/>
                <w:caps w:val="0"/>
                <w:spacing w:val="0"/>
                <w:w w:val="100"/>
                <w:kern w:val="0"/>
                <w:sz w:val="18"/>
                <w:szCs w:val="18"/>
                <w:lang w:val="en-US" w:eastAsia="zh-CN" w:bidi="ar-SA"/>
              </w:rPr>
              <w:t>残疾人硬地滚球项目训练，拓宽</w:t>
            </w:r>
            <w:r>
              <w:rPr>
                <w:rStyle w:val="15"/>
                <w:rFonts w:hint="eastAsia" w:ascii="Times New Roman" w:hAnsi="Times New Roman"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残疾人体育锻炼参与率与覆盖面。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exact"/>
          <w:jc w:val="center"/>
        </w:trPr>
        <w:tc>
          <w:tcPr>
            <w:tcW w:w="588"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8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996"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996"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《自贡日报》、“自贡网”深度新闻报道数量</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15篇</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15篇</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硬地滚球集训运动员数量</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7人</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7人</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指标3：</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硬地滚球集训天数</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ind w:firstLine="180" w:firstLineChars="100"/>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90天</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r>
              <w:rPr>
                <w:rStyle w:val="15"/>
                <w:rFonts w:hint="eastAsia" w:ascii="Times New Roman" w:hAnsi="Times New Roman" w:eastAsia="宋体" w:cs="Times New Roman"/>
                <w:b w:val="0"/>
                <w:i w:val="0"/>
                <w:caps w:val="0"/>
                <w:spacing w:val="0"/>
                <w:w w:val="100"/>
                <w:kern w:val="0"/>
                <w:sz w:val="18"/>
                <w:szCs w:val="18"/>
                <w:lang w:val="en-US" w:eastAsia="zh-CN" w:bidi="ar-SA"/>
              </w:rPr>
              <w:t>90天</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指标1：任务完成率</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996"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2090"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指标1：残疾人享有公共文化和体育服务水平</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指标2：提高残疾人融入社会生活能力</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指标1：助残日常宣传活动</w:t>
            </w:r>
          </w:p>
        </w:tc>
        <w:tc>
          <w:tcPr>
            <w:tcW w:w="1024"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851"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62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996"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2090"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102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851"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52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62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6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169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479" w:type="dxa"/>
            <w:gridSpan w:val="14"/>
            <w:tcBorders>
              <w:top w:val="nil"/>
              <w:left w:val="nil"/>
              <w:bottom w:val="nil"/>
              <w:right w:val="nil"/>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pStyle w:val="2"/>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4"/>
              <w:rPr>
                <w:rStyle w:val="15"/>
                <w:rFonts w:hint="default" w:ascii="Times New Roman" w:hAnsi="Times New Roman" w:eastAsia="宋体" w:cs="Times New Roman"/>
                <w:b w:val="0"/>
                <w:i w:val="0"/>
                <w:caps w:val="0"/>
                <w:spacing w:val="0"/>
                <w:w w:val="100"/>
                <w:kern w:val="0"/>
                <w:sz w:val="18"/>
                <w:szCs w:val="18"/>
                <w:lang w:val="en-US" w:eastAsia="zh-CN" w:bidi="ar-SA"/>
              </w:rPr>
            </w:pPr>
          </w:p>
          <w:p>
            <w:pPr>
              <w:rPr>
                <w:rFonts w:hint="default"/>
                <w:lang w:val="en-US" w:eastAsia="zh-CN"/>
              </w:rPr>
            </w:pPr>
          </w:p>
          <w:p>
            <w:pPr>
              <w:pStyle w:val="2"/>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4"/>
              <w:rPr>
                <w:rStyle w:val="15"/>
                <w:rFonts w:hint="default" w:ascii="Times New Roman" w:hAnsi="Times New Roman" w:eastAsia="宋体" w:cs="Times New Roman"/>
                <w:b w:val="0"/>
                <w:i w:val="0"/>
                <w:caps w:val="0"/>
                <w:spacing w:val="0"/>
                <w:w w:val="100"/>
                <w:kern w:val="0"/>
                <w:sz w:val="18"/>
                <w:szCs w:val="18"/>
                <w:lang w:val="en-US" w:eastAsia="zh-CN" w:bidi="ar-SA"/>
              </w:rPr>
            </w:pPr>
          </w:p>
          <w:p>
            <w:pPr>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2"/>
              <w:rPr>
                <w:rStyle w:val="15"/>
                <w:rFonts w:hint="default" w:ascii="Times New Roman" w:hAnsi="Times New Roman" w:eastAsia="宋体" w:cs="Times New Roman"/>
                <w:b w:val="0"/>
                <w:i w:val="0"/>
                <w:caps w:val="0"/>
                <w:spacing w:val="0"/>
                <w:w w:val="100"/>
                <w:kern w:val="0"/>
                <w:sz w:val="18"/>
                <w:szCs w:val="18"/>
                <w:lang w:val="en-US" w:eastAsia="zh-CN" w:bidi="ar-SA"/>
              </w:rPr>
            </w:pPr>
          </w:p>
          <w:p>
            <w:pPr>
              <w:pStyle w:val="4"/>
              <w:rPr>
                <w:rFonts w:hint="default"/>
                <w:lang w:val="en-US" w:eastAsia="zh-CN"/>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widowControl/>
        <w:spacing w:line="240" w:lineRule="exact"/>
        <w:ind w:firstLine="360" w:firstLineChars="200"/>
        <w:rPr>
          <w:rFonts w:ascii="宋体" w:hAnsi="宋体" w:eastAsia="宋体" w:cs="宋体"/>
          <w:kern w:val="0"/>
          <w:sz w:val="18"/>
          <w:szCs w:val="18"/>
        </w:rPr>
      </w:pPr>
    </w:p>
    <w:p>
      <w:pPr>
        <w:snapToGrid/>
        <w:spacing w:before="0" w:beforeAutospacing="0" w:after="0" w:afterAutospacing="0" w:line="240" w:lineRule="auto"/>
        <w:jc w:val="both"/>
        <w:textAlignment w:val="baseline"/>
        <w:rPr>
          <w:rStyle w:val="15"/>
          <w:rFonts w:hint="default" w:ascii="Times New Roman" w:hAnsi="Times New Roman" w:eastAsia="仿宋_GB2312" w:cs="Times New Roman"/>
          <w:b w:val="0"/>
          <w:i w:val="0"/>
          <w:caps w:val="0"/>
          <w:spacing w:val="0"/>
          <w:w w:val="100"/>
          <w:kern w:val="2"/>
          <w:sz w:val="32"/>
          <w:szCs w:val="32"/>
          <w:lang w:val="en-US" w:eastAsia="zh-CN" w:bidi="ar-SA"/>
        </w:rPr>
      </w:pPr>
    </w:p>
    <w:p>
      <w:pPr>
        <w:pStyle w:val="2"/>
        <w:ind w:left="0" w:leftChars="0" w:firstLine="0" w:firstLineChars="0"/>
        <w:jc w:val="left"/>
        <w:rPr>
          <w:rFonts w:hint="default"/>
          <w:b/>
          <w:bCs/>
          <w:lang w:val="en-US" w:eastAsia="zh-CN"/>
        </w:rPr>
      </w:pPr>
      <w:r>
        <w:rPr>
          <w:rFonts w:hint="eastAsia"/>
          <w:b/>
          <w:bCs/>
          <w:lang w:val="en-US" w:eastAsia="zh-CN"/>
        </w:rPr>
        <w:t>附件3</w:t>
      </w:r>
    </w:p>
    <w:tbl>
      <w:tblPr>
        <w:tblStyle w:val="12"/>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8"/>
        <w:gridCol w:w="980"/>
        <w:gridCol w:w="1112"/>
        <w:gridCol w:w="642"/>
        <w:gridCol w:w="1065"/>
        <w:gridCol w:w="267"/>
        <w:gridCol w:w="828"/>
        <w:gridCol w:w="1047"/>
        <w:gridCol w:w="567"/>
        <w:gridCol w:w="425"/>
        <w:gridCol w:w="142"/>
        <w:gridCol w:w="709"/>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216" w:type="dxa"/>
            <w:gridSpan w:val="13"/>
            <w:tcBorders>
              <w:top w:val="nil"/>
              <w:left w:val="nil"/>
              <w:bottom w:val="nil"/>
              <w:right w:val="nil"/>
            </w:tcBorders>
            <w:noWrap w:val="0"/>
            <w:vAlign w:val="center"/>
          </w:tcPr>
          <w:p>
            <w:pPr>
              <w:widowControl/>
              <w:snapToGrid/>
              <w:spacing w:before="0" w:beforeAutospacing="0" w:after="0" w:afterAutospacing="0" w:line="320" w:lineRule="exact"/>
              <w:ind w:firstLine="2880" w:firstLineChars="900"/>
              <w:jc w:val="both"/>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216" w:type="dxa"/>
            <w:gridSpan w:val="13"/>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ascii="Times New Roman" w:hAnsi="Times New Roman"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648" w:type="dxa"/>
            <w:gridSpan w:val="11"/>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自贡市残疾人康复中心</w:t>
            </w:r>
            <w:r>
              <w:rPr>
                <w:rStyle w:val="15"/>
                <w:rFonts w:hint="eastAsia" w:ascii="Times New Roman" w:hAnsi="Times New Roman" w:eastAsia="宋体" w:cs="Times New Roman"/>
                <w:b w:val="0"/>
                <w:i w:val="0"/>
                <w:caps w:val="0"/>
                <w:spacing w:val="0"/>
                <w:w w:val="100"/>
                <w:kern w:val="0"/>
                <w:sz w:val="18"/>
                <w:szCs w:val="18"/>
                <w:lang w:val="en-US" w:eastAsia="zh-CN" w:bidi="ar-SA"/>
              </w:rPr>
              <w:t>大楼</w:t>
            </w:r>
            <w:r>
              <w:rPr>
                <w:rStyle w:val="15"/>
                <w:rFonts w:hint="default" w:ascii="Times New Roman" w:hAnsi="Times New Roman" w:eastAsia="宋体" w:cs="Times New Roman"/>
                <w:b w:val="0"/>
                <w:i w:val="0"/>
                <w:caps w:val="0"/>
                <w:spacing w:val="0"/>
                <w:w w:val="100"/>
                <w:kern w:val="0"/>
                <w:sz w:val="18"/>
                <w:szCs w:val="18"/>
                <w:lang w:val="en-US" w:eastAsia="zh-CN" w:bidi="ar-SA"/>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3914"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687"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352.25</w:t>
            </w: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754"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065"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9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92"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84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489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73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exact"/>
          <w:jc w:val="center"/>
        </w:trPr>
        <w:tc>
          <w:tcPr>
            <w:tcW w:w="588"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489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市康复中心大楼建设，填补我市康复中心建设的空白，为全市残疾人提供康复服务，使各类残疾人得到有效康复。</w:t>
            </w:r>
          </w:p>
        </w:tc>
        <w:tc>
          <w:tcPr>
            <w:tcW w:w="3734"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完善了康复中心大楼主体工程建设，</w:t>
            </w:r>
            <w:r>
              <w:rPr>
                <w:rStyle w:val="15"/>
                <w:rFonts w:hint="default" w:ascii="Times New Roman" w:hAnsi="Times New Roman" w:eastAsia="宋体" w:cs="Times New Roman"/>
                <w:b w:val="0"/>
                <w:i w:val="0"/>
                <w:caps w:val="0"/>
                <w:spacing w:val="0"/>
                <w:w w:val="100"/>
                <w:kern w:val="0"/>
                <w:sz w:val="18"/>
                <w:szCs w:val="18"/>
                <w:lang w:val="en-US" w:eastAsia="zh-CN" w:bidi="ar-SA"/>
              </w:rPr>
              <w:t>完成</w:t>
            </w:r>
            <w:r>
              <w:rPr>
                <w:rStyle w:val="15"/>
                <w:rFonts w:hint="eastAsia" w:ascii="Times New Roman" w:hAnsi="Times New Roman" w:eastAsia="宋体" w:cs="Times New Roman"/>
                <w:b w:val="0"/>
                <w:i w:val="0"/>
                <w:caps w:val="0"/>
                <w:spacing w:val="0"/>
                <w:w w:val="100"/>
                <w:kern w:val="0"/>
                <w:sz w:val="18"/>
                <w:szCs w:val="18"/>
                <w:lang w:val="en-US" w:eastAsia="zh-CN" w:bidi="ar-SA"/>
              </w:rPr>
              <w:t>了</w:t>
            </w:r>
            <w:r>
              <w:rPr>
                <w:rStyle w:val="15"/>
                <w:rFonts w:hint="default" w:ascii="Times New Roman" w:hAnsi="Times New Roman" w:eastAsia="宋体" w:cs="Times New Roman"/>
                <w:b w:val="0"/>
                <w:i w:val="0"/>
                <w:caps w:val="0"/>
                <w:spacing w:val="0"/>
                <w:w w:val="100"/>
                <w:kern w:val="0"/>
                <w:sz w:val="18"/>
                <w:szCs w:val="18"/>
                <w:lang w:val="en-US" w:eastAsia="zh-CN" w:bidi="ar-SA"/>
              </w:rPr>
              <w:t>附属设施工程、中央空调安装。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588"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8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11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指标1：完成附属设施</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1个</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 完成中央空调采购安装</w:t>
            </w: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验收</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1套</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1套</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指标1：中央空调安装验收</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符合国家标准</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符合国家标准</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指标1：空调安装完成时间</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ascii="Times New Roman" w:hAnsi="Times New Roman"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15</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112"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1974"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指标1：为全市残疾人提供康复服务，使各类残疾人得到有效康复</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指标2：提高残疾人融入社会生活能力</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指标1：提高残疾人融入社会能力</w:t>
            </w:r>
          </w:p>
        </w:tc>
        <w:tc>
          <w:tcPr>
            <w:tcW w:w="828"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1047"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67"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8" w:hRule="exact"/>
          <w:jc w:val="center"/>
        </w:trPr>
        <w:tc>
          <w:tcPr>
            <w:tcW w:w="588"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828"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104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52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567"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567"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eastAsia" w:ascii="Times New Roman" w:hAnsi="Times New Roman" w:eastAsia="宋体" w:cs="Times New Roman"/>
                <w:b w:val="0"/>
                <w:i w:val="0"/>
                <w:caps w:val="0"/>
                <w:color w:val="000000"/>
                <w:spacing w:val="0"/>
                <w:w w:val="100"/>
                <w:kern w:val="0"/>
                <w:sz w:val="18"/>
                <w:szCs w:val="18"/>
                <w:lang w:val="en-US" w:eastAsia="zh-CN" w:bidi="ar-SA"/>
              </w:rPr>
              <w:t>99</w:t>
            </w:r>
          </w:p>
        </w:tc>
        <w:tc>
          <w:tcPr>
            <w:tcW w:w="155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216" w:type="dxa"/>
            <w:gridSpan w:val="13"/>
            <w:tcBorders>
              <w:top w:val="nil"/>
              <w:left w:val="nil"/>
              <w:bottom w:val="nil"/>
              <w:right w:val="nil"/>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pPr>
          </w:p>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bl>
    <w:p>
      <w:pPr>
        <w:keepNext w:val="0"/>
        <w:keepLines w:val="0"/>
        <w:widowControl w:val="0"/>
        <w:suppressLineNumbers w:val="0"/>
        <w:spacing w:before="0" w:beforeAutospacing="0" w:after="0" w:afterAutospacing="0" w:line="320" w:lineRule="exact"/>
        <w:ind w:left="0" w:right="0"/>
        <w:jc w:val="both"/>
        <w:rPr>
          <w:rFonts w:hint="eastAsia" w:ascii="Times New Roman" w:hAnsi="Times New Roman" w:eastAsia="仿宋_GB2312" w:cs="仿宋_GB2312"/>
          <w:color w:val="000000"/>
          <w:kern w:val="0"/>
          <w:sz w:val="32"/>
          <w:szCs w:val="24"/>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Times New Roman" w:hAnsi="Times New Roman" w:eastAsia="仿宋_GB2312" w:cs="仿宋_GB2312"/>
          <w:color w:val="000000"/>
          <w:kern w:val="0"/>
          <w:sz w:val="32"/>
          <w:szCs w:val="24"/>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Times New Roman" w:hAnsi="Times New Roman" w:eastAsia="仿宋_GB2312" w:cs="仿宋_GB2312"/>
          <w:b/>
          <w:bCs/>
          <w:color w:val="000000"/>
          <w:kern w:val="0"/>
          <w:sz w:val="32"/>
          <w:szCs w:val="24"/>
          <w:lang w:val="en-US" w:eastAsia="zh-CN" w:bidi="ar"/>
        </w:rPr>
      </w:pPr>
    </w:p>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仿宋_GB2312" w:cs="仿宋_GB2312"/>
          <w:b/>
          <w:bCs/>
          <w:color w:val="000000"/>
          <w:kern w:val="0"/>
          <w:sz w:val="32"/>
          <w:szCs w:val="24"/>
          <w:lang w:val="en-US" w:eastAsia="zh-CN" w:bidi="ar"/>
        </w:rPr>
      </w:pPr>
      <w:r>
        <w:rPr>
          <w:rFonts w:hint="eastAsia" w:cs="仿宋_GB2312"/>
          <w:b/>
          <w:bCs/>
          <w:color w:val="000000"/>
          <w:kern w:val="0"/>
          <w:sz w:val="32"/>
          <w:szCs w:val="24"/>
          <w:lang w:val="en-US" w:eastAsia="zh-CN" w:bidi="ar"/>
        </w:rPr>
        <w:t>附件3</w:t>
      </w:r>
    </w:p>
    <w:tbl>
      <w:tblPr>
        <w:tblStyle w:val="12"/>
        <w:tblW w:w="9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9"/>
        <w:gridCol w:w="980"/>
        <w:gridCol w:w="1112"/>
        <w:gridCol w:w="730"/>
        <w:gridCol w:w="1134"/>
        <w:gridCol w:w="110"/>
        <w:gridCol w:w="1120"/>
        <w:gridCol w:w="1020"/>
        <w:gridCol w:w="53"/>
        <w:gridCol w:w="503"/>
        <w:gridCol w:w="171"/>
        <w:gridCol w:w="444"/>
        <w:gridCol w:w="407"/>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exact"/>
          <w:jc w:val="center"/>
        </w:trPr>
        <w:tc>
          <w:tcPr>
            <w:tcW w:w="9496" w:type="dxa"/>
            <w:gridSpan w:val="14"/>
            <w:tcBorders>
              <w:top w:val="nil"/>
              <w:left w:val="nil"/>
              <w:bottom w:val="nil"/>
              <w:right w:val="nil"/>
            </w:tcBorders>
            <w:noWrap w:val="0"/>
            <w:vAlign w:val="center"/>
          </w:tcPr>
          <w:p>
            <w:pPr>
              <w:widowControl/>
              <w:snapToGrid/>
              <w:spacing w:before="0" w:beforeAutospacing="0" w:after="0" w:afterAutospacing="0" w:line="320" w:lineRule="exact"/>
              <w:jc w:val="center"/>
              <w:textAlignment w:val="baseline"/>
              <w:rPr>
                <w:rStyle w:val="15"/>
                <w:rFonts w:hint="default" w:ascii="Times New Roman" w:hAnsi="Times New Roman" w:eastAsia="宋体" w:cs="Times New Roman"/>
                <w:b/>
                <w:bCs/>
                <w:i w:val="0"/>
                <w:caps w:val="0"/>
                <w:spacing w:val="0"/>
                <w:w w:val="100"/>
                <w:kern w:val="0"/>
                <w:sz w:val="32"/>
                <w:szCs w:val="30"/>
                <w:lang w:val="en-US" w:eastAsia="zh-CN" w:bidi="ar-SA"/>
              </w:rPr>
            </w:pPr>
            <w:r>
              <w:rPr>
                <w:rStyle w:val="15"/>
                <w:rFonts w:hint="default" w:ascii="Times New Roman" w:hAnsi="Times New Roman" w:eastAsia="方正小标宋简体" w:cs="Times New Roman"/>
                <w:b w:val="0"/>
                <w:bCs/>
                <w:i w:val="0"/>
                <w:caps w:val="0"/>
                <w:color w:val="000000"/>
                <w:spacing w:val="0"/>
                <w:w w:val="100"/>
                <w:kern w:val="0"/>
                <w:sz w:val="32"/>
                <w:szCs w:val="24"/>
                <w:lang w:val="en-US" w:eastAsia="zh-CN" w:bidi="ar-SA"/>
              </w:rPr>
              <w:t>市级项目支出绩效自评表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496" w:type="dxa"/>
            <w:gridSpan w:val="14"/>
            <w:tcBorders>
              <w:top w:val="nil"/>
              <w:left w:val="nil"/>
              <w:bottom w:val="nil"/>
              <w:right w:val="nil"/>
            </w:tcBorders>
            <w:noWrap w:val="0"/>
            <w:vAlign w:val="top"/>
          </w:tcPr>
          <w:p>
            <w:pPr>
              <w:widowControl/>
              <w:snapToGrid/>
              <w:spacing w:before="0" w:beforeAutospacing="0" w:after="0" w:afterAutospacing="0" w:line="240" w:lineRule="auto"/>
              <w:jc w:val="center"/>
              <w:textAlignment w:val="baseline"/>
              <w:rPr>
                <w:rStyle w:val="15"/>
                <w:rFonts w:hint="default" w:ascii="Times New Roman" w:hAnsi="Times New Roman" w:eastAsia="宋体" w:cs="Times New Roman"/>
                <w:b w:val="0"/>
                <w:i w:val="0"/>
                <w:caps w:val="0"/>
                <w:spacing w:val="0"/>
                <w:w w:val="100"/>
                <w:kern w:val="0"/>
                <w:sz w:val="22"/>
                <w:szCs w:val="24"/>
                <w:lang w:val="en-US" w:eastAsia="zh-CN" w:bidi="ar-SA"/>
              </w:rPr>
            </w:pPr>
            <w:r>
              <w:rPr>
                <w:rStyle w:val="15"/>
                <w:rFonts w:hint="default" w:ascii="Times New Roman" w:hAnsi="Times New Roman" w:eastAsia="宋体" w:cs="Times New Roman"/>
                <w:b w:val="0"/>
                <w:i w:val="0"/>
                <w:caps w:val="0"/>
                <w:spacing w:val="0"/>
                <w:w w:val="100"/>
                <w:kern w:val="0"/>
                <w:sz w:val="22"/>
                <w:szCs w:val="24"/>
                <w:lang w:val="en-US" w:eastAsia="zh-CN" w:bidi="ar-SA"/>
              </w:rPr>
              <w:t>（202</w:t>
            </w:r>
            <w:r>
              <w:rPr>
                <w:rStyle w:val="15"/>
                <w:rFonts w:hint="eastAsia" w:eastAsia="宋体" w:cs="Times New Roman"/>
                <w:b w:val="0"/>
                <w:i w:val="0"/>
                <w:caps w:val="0"/>
                <w:spacing w:val="0"/>
                <w:w w:val="100"/>
                <w:kern w:val="0"/>
                <w:sz w:val="22"/>
                <w:szCs w:val="24"/>
                <w:lang w:val="en-US" w:eastAsia="zh-CN" w:bidi="ar-SA"/>
              </w:rPr>
              <w:t>1</w:t>
            </w:r>
            <w:r>
              <w:rPr>
                <w:rStyle w:val="15"/>
                <w:rFonts w:hint="default" w:ascii="Times New Roman" w:hAnsi="Times New Roman" w:eastAsia="宋体" w:cs="Times New Roman"/>
                <w:b w:val="0"/>
                <w:i w:val="0"/>
                <w:caps w:val="0"/>
                <w:spacing w:val="0"/>
                <w:w w:val="100"/>
                <w:kern w:val="0"/>
                <w:sz w:val="22"/>
                <w:szCs w:val="24"/>
                <w:lang w:val="en-US" w:eastAsia="zh-CN" w:bidi="ar-SA"/>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项目名称</w:t>
            </w:r>
          </w:p>
        </w:tc>
        <w:tc>
          <w:tcPr>
            <w:tcW w:w="7807" w:type="dxa"/>
            <w:gridSpan w:val="1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残疾人</w:t>
            </w:r>
            <w:r>
              <w:rPr>
                <w:rStyle w:val="15"/>
                <w:rFonts w:hint="eastAsia" w:eastAsia="宋体" w:cs="Times New Roman"/>
                <w:b w:val="0"/>
                <w:i w:val="0"/>
                <w:caps w:val="0"/>
                <w:spacing w:val="0"/>
                <w:w w:val="100"/>
                <w:kern w:val="0"/>
                <w:sz w:val="18"/>
                <w:szCs w:val="18"/>
                <w:lang w:val="en-US" w:eastAsia="zh-CN" w:bidi="ar-SA"/>
              </w:rPr>
              <w:t>辅助器具适配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主管部门</w:t>
            </w:r>
          </w:p>
        </w:tc>
        <w:tc>
          <w:tcPr>
            <w:tcW w:w="4206" w:type="dxa"/>
            <w:gridSpan w:val="5"/>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自贡市残疾人联合会</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实施单位</w:t>
            </w:r>
          </w:p>
        </w:tc>
        <w:tc>
          <w:tcPr>
            <w:tcW w:w="2581"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自贡市残疾人</w:t>
            </w:r>
            <w:r>
              <w:rPr>
                <w:rStyle w:val="15"/>
                <w:rFonts w:hint="eastAsia" w:eastAsia="宋体" w:cs="Times New Roman"/>
                <w:b w:val="0"/>
                <w:i w:val="0"/>
                <w:caps w:val="0"/>
                <w:spacing w:val="0"/>
                <w:w w:val="100"/>
                <w:kern w:val="0"/>
                <w:sz w:val="18"/>
                <w:szCs w:val="18"/>
                <w:lang w:val="en-US" w:eastAsia="zh-CN" w:bidi="ar-SA"/>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项目资金</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（万元）</w:t>
            </w: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年初预算数</w:t>
            </w: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全年预算数</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全年执行数</w:t>
            </w: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执行率</w:t>
            </w: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年度资金总额</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其中：当年财政拨款</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93.26</w:t>
            </w: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上年结转资金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842"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 xml:space="preserve">  其他资金</w:t>
            </w:r>
          </w:p>
        </w:tc>
        <w:tc>
          <w:tcPr>
            <w:tcW w:w="1134"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230"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727" w:type="dxa"/>
            <w:gridSpan w:val="3"/>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c>
          <w:tcPr>
            <w:tcW w:w="851"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年度总体目标</w:t>
            </w:r>
          </w:p>
        </w:tc>
        <w:tc>
          <w:tcPr>
            <w:tcW w:w="5186"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预期目标</w:t>
            </w:r>
          </w:p>
        </w:tc>
        <w:tc>
          <w:tcPr>
            <w:tcW w:w="36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5" w:hRule="exact"/>
          <w:jc w:val="center"/>
        </w:trPr>
        <w:tc>
          <w:tcPr>
            <w:tcW w:w="709"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186" w:type="dxa"/>
            <w:gridSpan w:val="6"/>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计划为五区</w:t>
            </w:r>
            <w:r>
              <w:rPr>
                <w:rStyle w:val="15"/>
                <w:rFonts w:hint="eastAsia" w:eastAsia="宋体" w:cs="Times New Roman"/>
                <w:b w:val="0"/>
                <w:i w:val="0"/>
                <w:caps w:val="0"/>
                <w:spacing w:val="0"/>
                <w:w w:val="100"/>
                <w:kern w:val="0"/>
                <w:sz w:val="18"/>
                <w:szCs w:val="18"/>
                <w:lang w:val="en-US" w:eastAsia="zh-CN" w:bidi="ar-SA"/>
              </w:rPr>
              <w:t>2200</w:t>
            </w:r>
            <w:r>
              <w:rPr>
                <w:rStyle w:val="15"/>
                <w:rFonts w:hint="default" w:ascii="Times New Roman" w:hAnsi="Times New Roman" w:eastAsia="宋体" w:cs="Times New Roman"/>
                <w:b w:val="0"/>
                <w:i w:val="0"/>
                <w:caps w:val="0"/>
                <w:spacing w:val="0"/>
                <w:w w:val="100"/>
                <w:kern w:val="0"/>
                <w:sz w:val="18"/>
                <w:szCs w:val="18"/>
                <w:lang w:val="en-US" w:eastAsia="zh-CN" w:bidi="ar-SA"/>
              </w:rPr>
              <w:t>名残疾人开展辅助器具适配工作，改善残疾人残疾状况和生产生活状况，为他们平等参与社会生活提供方便。</w:t>
            </w:r>
          </w:p>
        </w:tc>
        <w:tc>
          <w:tcPr>
            <w:tcW w:w="3601" w:type="dxa"/>
            <w:gridSpan w:val="7"/>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实际为</w:t>
            </w:r>
            <w:r>
              <w:rPr>
                <w:rStyle w:val="15"/>
                <w:rFonts w:hint="eastAsia" w:eastAsia="宋体" w:cs="Times New Roman"/>
                <w:b w:val="0"/>
                <w:i w:val="0"/>
                <w:caps w:val="0"/>
                <w:spacing w:val="0"/>
                <w:w w:val="100"/>
                <w:kern w:val="0"/>
                <w:sz w:val="18"/>
                <w:szCs w:val="18"/>
                <w:lang w:val="en-US" w:eastAsia="zh-CN" w:bidi="ar-SA"/>
              </w:rPr>
              <w:t>2267</w:t>
            </w:r>
            <w:r>
              <w:rPr>
                <w:rStyle w:val="15"/>
                <w:rFonts w:hint="default" w:ascii="Times New Roman" w:hAnsi="Times New Roman" w:eastAsia="宋体" w:cs="Times New Roman"/>
                <w:b w:val="0"/>
                <w:i w:val="0"/>
                <w:caps w:val="0"/>
                <w:spacing w:val="0"/>
                <w:w w:val="100"/>
                <w:kern w:val="0"/>
                <w:sz w:val="18"/>
                <w:szCs w:val="18"/>
                <w:lang w:val="en-US" w:eastAsia="zh-CN" w:bidi="ar-SA"/>
              </w:rPr>
              <w:t>名残疾人适配辅助器具，通过开展这项工作是残疾人改善了残疾状况以及因残疾导致生产、生活不便等，为他们平等参与社会，共享社会物质文化生活提供了保障。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jc w:val="center"/>
        </w:trPr>
        <w:tc>
          <w:tcPr>
            <w:tcW w:w="709"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绩</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效</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指</w:t>
            </w:r>
            <w:r>
              <w:rPr>
                <w:rStyle w:val="15"/>
                <w:rFonts w:hint="default" w:ascii="Times New Roman" w:hAnsi="Times New Roman" w:eastAsia="宋体" w:cs="Times New Roman"/>
                <w:b w:val="0"/>
                <w:i w:val="0"/>
                <w:caps w:val="0"/>
                <w:spacing w:val="0"/>
                <w:w w:val="100"/>
                <w:kern w:val="0"/>
                <w:sz w:val="18"/>
                <w:szCs w:val="18"/>
                <w:lang w:val="en-US" w:eastAsia="zh-CN" w:bidi="ar-SA"/>
              </w:rPr>
              <w:br w:type="textWrapping"/>
            </w:r>
            <w:r>
              <w:rPr>
                <w:rStyle w:val="15"/>
                <w:rFonts w:hint="default" w:ascii="Times New Roman" w:hAnsi="Times New Roman" w:eastAsia="宋体" w:cs="Times New Roman"/>
                <w:b w:val="0"/>
                <w:i w:val="0"/>
                <w:caps w:val="0"/>
                <w:spacing w:val="0"/>
                <w:w w:val="100"/>
                <w:kern w:val="0"/>
                <w:sz w:val="18"/>
                <w:szCs w:val="18"/>
                <w:lang w:val="en-US" w:eastAsia="zh-CN" w:bidi="ar-SA"/>
              </w:rPr>
              <w:t>标</w:t>
            </w:r>
          </w:p>
        </w:tc>
        <w:tc>
          <w:tcPr>
            <w:tcW w:w="98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一级指标</w:t>
            </w:r>
          </w:p>
        </w:tc>
        <w:tc>
          <w:tcPr>
            <w:tcW w:w="1112"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二级指标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三级指标</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年度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指标值</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实际</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完成值</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分值</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得分</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完成指标（分值共50分）</w:t>
            </w:r>
          </w:p>
        </w:tc>
        <w:tc>
          <w:tcPr>
            <w:tcW w:w="1112" w:type="dxa"/>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数量指标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w:t>
            </w:r>
            <w:r>
              <w:rPr>
                <w:rStyle w:val="15"/>
                <w:rFonts w:hint="eastAsia" w:eastAsia="宋体" w:cs="Times New Roman"/>
                <w:b w:val="0"/>
                <w:i w:val="0"/>
                <w:caps w:val="0"/>
                <w:color w:val="000000"/>
                <w:spacing w:val="0"/>
                <w:w w:val="100"/>
                <w:kern w:val="0"/>
                <w:sz w:val="18"/>
                <w:szCs w:val="18"/>
                <w:lang w:val="en-US" w:eastAsia="zh-CN" w:bidi="ar-SA"/>
              </w:rPr>
              <w:t>辅具适配人数</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2200</w:t>
            </w:r>
            <w:r>
              <w:rPr>
                <w:rStyle w:val="15"/>
                <w:rFonts w:hint="default" w:ascii="Times New Roman" w:hAnsi="Times New Roman" w:eastAsia="宋体" w:cs="Times New Roman"/>
                <w:b w:val="0"/>
                <w:i w:val="0"/>
                <w:caps w:val="0"/>
                <w:spacing w:val="0"/>
                <w:w w:val="100"/>
                <w:kern w:val="0"/>
                <w:sz w:val="18"/>
                <w:szCs w:val="18"/>
                <w:lang w:val="en-US" w:eastAsia="zh-CN" w:bidi="ar-SA"/>
              </w:rPr>
              <w:t>人</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2267</w:t>
            </w:r>
            <w:r>
              <w:rPr>
                <w:rStyle w:val="15"/>
                <w:rFonts w:hint="default" w:ascii="Times New Roman" w:hAnsi="Times New Roman" w:eastAsia="宋体" w:cs="Times New Roman"/>
                <w:b w:val="0"/>
                <w:i w:val="0"/>
                <w:caps w:val="0"/>
                <w:spacing w:val="0"/>
                <w:w w:val="100"/>
                <w:kern w:val="0"/>
                <w:sz w:val="18"/>
                <w:szCs w:val="18"/>
                <w:lang w:val="en-US" w:eastAsia="zh-CN" w:bidi="ar-SA"/>
              </w:rPr>
              <w:t>人</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20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质量指标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指标1：任务完成率</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100%</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时效指标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指标1：项目完成时间</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202</w:t>
            </w:r>
            <w:r>
              <w:rPr>
                <w:rStyle w:val="15"/>
                <w:rFonts w:hint="eastAsia" w:eastAsia="宋体" w:cs="Times New Roman"/>
                <w:b w:val="0"/>
                <w:i w:val="0"/>
                <w:caps w:val="0"/>
                <w:spacing w:val="0"/>
                <w:w w:val="100"/>
                <w:kern w:val="0"/>
                <w:sz w:val="18"/>
                <w:szCs w:val="18"/>
                <w:lang w:val="en-US" w:eastAsia="zh-CN" w:bidi="ar-SA"/>
              </w:rPr>
              <w:t>1</w:t>
            </w:r>
            <w:r>
              <w:rPr>
                <w:rStyle w:val="15"/>
                <w:rFonts w:hint="default" w:ascii="Times New Roman" w:hAnsi="Times New Roman" w:eastAsia="宋体" w:cs="Times New Roman"/>
                <w:b w:val="0"/>
                <w:i w:val="0"/>
                <w:caps w:val="0"/>
                <w:spacing w:val="0"/>
                <w:w w:val="100"/>
                <w:kern w:val="0"/>
                <w:sz w:val="18"/>
                <w:szCs w:val="18"/>
                <w:lang w:val="en-US" w:eastAsia="zh-CN" w:bidi="ar-SA"/>
              </w:rPr>
              <w:t>年底</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eastAsia" w:eastAsia="宋体" w:cs="Times New Roman"/>
                <w:b w:val="0"/>
                <w:i w:val="0"/>
                <w:caps w:val="0"/>
                <w:spacing w:val="0"/>
                <w:w w:val="100"/>
                <w:kern w:val="0"/>
                <w:sz w:val="18"/>
                <w:szCs w:val="18"/>
                <w:lang w:val="en-US" w:eastAsia="zh-CN" w:bidi="ar-SA"/>
              </w:rPr>
              <w:t>15</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效益指标（分值共30分）</w:t>
            </w:r>
          </w:p>
        </w:tc>
        <w:tc>
          <w:tcPr>
            <w:tcW w:w="1112" w:type="dxa"/>
            <w:vMerge w:val="restart"/>
            <w:tcBorders>
              <w:top w:val="nil"/>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社会效益</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w:t>
            </w:r>
          </w:p>
        </w:tc>
        <w:tc>
          <w:tcPr>
            <w:tcW w:w="1974" w:type="dxa"/>
            <w:gridSpan w:val="3"/>
            <w:tcBorders>
              <w:top w:val="single" w:color="000000" w:sz="4" w:space="0"/>
              <w:left w:val="nil"/>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指标1：残疾人康复服务水平</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有所提高</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可持续影响指标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指标1：提高残疾人生活水平</w:t>
            </w:r>
          </w:p>
        </w:tc>
        <w:tc>
          <w:tcPr>
            <w:tcW w:w="112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1073"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03"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指标2：提高残疾人融入社会能力</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中长期</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满意度</w:t>
            </w:r>
          </w:p>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指标（分值共10分）</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服务对象满意度指标</w:t>
            </w: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指标1：残疾人及残疾人家属满意度</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≥90%</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10</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9</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exact"/>
          <w:jc w:val="center"/>
        </w:trPr>
        <w:tc>
          <w:tcPr>
            <w:tcW w:w="709" w:type="dxa"/>
            <w:vMerge w:val="continue"/>
            <w:tcBorders>
              <w:left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974" w:type="dxa"/>
            <w:gridSpan w:val="3"/>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指标2：</w:t>
            </w:r>
          </w:p>
        </w:tc>
        <w:tc>
          <w:tcPr>
            <w:tcW w:w="1120"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073"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696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总分</w:t>
            </w:r>
          </w:p>
        </w:tc>
        <w:tc>
          <w:tcPr>
            <w:tcW w:w="503" w:type="dxa"/>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100</w:t>
            </w:r>
          </w:p>
        </w:tc>
        <w:tc>
          <w:tcPr>
            <w:tcW w:w="615" w:type="dxa"/>
            <w:gridSpan w:val="2"/>
            <w:tcBorders>
              <w:top w:val="nil"/>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color w:val="000000"/>
                <w:spacing w:val="0"/>
                <w:w w:val="100"/>
                <w:kern w:val="0"/>
                <w:sz w:val="18"/>
                <w:szCs w:val="18"/>
                <w:lang w:val="en-US" w:eastAsia="zh-CN" w:bidi="ar-SA"/>
              </w:rPr>
            </w:pPr>
            <w:r>
              <w:rPr>
                <w:rStyle w:val="15"/>
                <w:rFonts w:hint="default" w:ascii="Times New Roman" w:hAnsi="Times New Roman" w:eastAsia="宋体" w:cs="Times New Roman"/>
                <w:b w:val="0"/>
                <w:i w:val="0"/>
                <w:caps w:val="0"/>
                <w:color w:val="000000"/>
                <w:spacing w:val="0"/>
                <w:w w:val="100"/>
                <w:kern w:val="0"/>
                <w:sz w:val="18"/>
                <w:szCs w:val="18"/>
                <w:lang w:val="en-US" w:eastAsia="zh-CN" w:bidi="ar-SA"/>
              </w:rPr>
              <w:t>99</w:t>
            </w:r>
          </w:p>
        </w:tc>
        <w:tc>
          <w:tcPr>
            <w:tcW w:w="1410" w:type="dxa"/>
            <w:gridSpan w:val="2"/>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p>
        </w:tc>
      </w:tr>
    </w:tbl>
    <w:p>
      <w:pPr>
        <w:widowControl/>
        <w:snapToGrid/>
        <w:spacing w:before="0" w:beforeAutospacing="0" w:after="0" w:afterAutospacing="0" w:line="240" w:lineRule="exact"/>
        <w:jc w:val="both"/>
        <w:textAlignment w:val="baseline"/>
        <w:rPr>
          <w:rStyle w:val="15"/>
          <w:rFonts w:hint="default" w:ascii="Times New Roman" w:hAnsi="Times New Roman" w:eastAsia="宋体" w:cs="Times New Roman"/>
          <w:b w:val="0"/>
          <w:i w:val="0"/>
          <w:caps w:val="0"/>
          <w:spacing w:val="0"/>
          <w:w w:val="100"/>
          <w:kern w:val="0"/>
          <w:sz w:val="18"/>
          <w:szCs w:val="18"/>
          <w:lang w:val="en-US" w:eastAsia="zh-CN" w:bidi="ar-SA"/>
        </w:rPr>
      </w:pPr>
      <w:r>
        <w:rPr>
          <w:rStyle w:val="15"/>
          <w:rFonts w:hint="default" w:ascii="Times New Roman" w:hAnsi="Times New Roman" w:eastAsia="宋体" w:cs="Times New Roman"/>
          <w:b w:val="0"/>
          <w:i w:val="0"/>
          <w:caps w:val="0"/>
          <w:spacing w:val="0"/>
          <w:w w:val="100"/>
          <w:kern w:val="0"/>
          <w:sz w:val="18"/>
          <w:szCs w:val="18"/>
          <w:lang w:val="en-US" w:eastAsia="zh-CN" w:bidi="ar-SA"/>
        </w:rPr>
        <w:t>备注：预算执行分值为10分、产出指标分值为50分、效益指标分值为30分、满意度指标分值为10分</w:t>
      </w:r>
    </w:p>
    <w:p>
      <w:pPr>
        <w:widowControl/>
        <w:jc w:val="center"/>
        <w:rPr>
          <w:rStyle w:val="17"/>
          <w:rFonts w:ascii="黑体" w:hAnsi="黑体" w:eastAsia="黑体"/>
          <w:b w:val="0"/>
        </w:rPr>
      </w:pPr>
      <w:bookmarkStart w:id="63" w:name="_Toc15396618"/>
      <w:bookmarkStart w:id="64" w:name="_Toc32283"/>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60"/>
      <w:bookmarkEnd w:id="63"/>
      <w:bookmarkEnd w:id="64"/>
    </w:p>
    <w:p>
      <w:pPr>
        <w:pStyle w:val="6"/>
        <w:rPr>
          <w:rFonts w:ascii="仿宋" w:hAnsi="仿宋" w:eastAsia="仿宋"/>
          <w:color w:val="000000"/>
        </w:rPr>
      </w:pPr>
      <w:bookmarkStart w:id="65" w:name="_Toc15699"/>
      <w:bookmarkStart w:id="66"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5"/>
      <w:bookmarkEnd w:id="66"/>
    </w:p>
    <w:p>
      <w:pPr>
        <w:pStyle w:val="6"/>
        <w:rPr>
          <w:rFonts w:ascii="仿宋" w:hAnsi="仿宋" w:eastAsia="仿宋"/>
          <w:color w:val="000000"/>
        </w:rPr>
      </w:pPr>
      <w:bookmarkStart w:id="67" w:name="_Toc15396620"/>
      <w:bookmarkStart w:id="68" w:name="_Toc27106"/>
      <w:r>
        <w:rPr>
          <w:rFonts w:hint="eastAsia" w:ascii="仿宋" w:hAnsi="仿宋" w:eastAsia="仿宋"/>
          <w:b w:val="0"/>
          <w:color w:val="000000"/>
        </w:rPr>
        <w:t>二、收</w:t>
      </w:r>
      <w:r>
        <w:rPr>
          <w:rStyle w:val="18"/>
          <w:rFonts w:hint="eastAsia" w:ascii="仿宋" w:hAnsi="仿宋" w:eastAsia="仿宋"/>
          <w:b w:val="0"/>
          <w:bCs w:val="0"/>
        </w:rPr>
        <w:t>入决算表</w:t>
      </w:r>
      <w:bookmarkEnd w:id="67"/>
      <w:bookmarkEnd w:id="68"/>
    </w:p>
    <w:p>
      <w:pPr>
        <w:pStyle w:val="6"/>
        <w:rPr>
          <w:rFonts w:ascii="仿宋" w:hAnsi="仿宋" w:eastAsia="仿宋"/>
          <w:color w:val="000000"/>
        </w:rPr>
      </w:pPr>
      <w:bookmarkStart w:id="69" w:name="_Toc26817"/>
      <w:bookmarkStart w:id="70"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9"/>
      <w:bookmarkEnd w:id="70"/>
    </w:p>
    <w:p>
      <w:pPr>
        <w:pStyle w:val="6"/>
        <w:rPr>
          <w:rFonts w:ascii="仿宋" w:hAnsi="仿宋" w:eastAsia="仿宋"/>
          <w:b w:val="0"/>
          <w:color w:val="000000"/>
        </w:rPr>
      </w:pPr>
      <w:bookmarkStart w:id="71" w:name="_Toc21747"/>
      <w:bookmarkStart w:id="72"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71"/>
      <w:bookmarkEnd w:id="72"/>
    </w:p>
    <w:p>
      <w:pPr>
        <w:pStyle w:val="6"/>
        <w:rPr>
          <w:rStyle w:val="18"/>
          <w:rFonts w:ascii="仿宋" w:hAnsi="仿宋" w:eastAsia="仿宋"/>
          <w:b w:val="0"/>
          <w:bCs w:val="0"/>
        </w:rPr>
      </w:pPr>
      <w:bookmarkStart w:id="73" w:name="_Toc12959"/>
      <w:bookmarkStart w:id="7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73"/>
      <w:bookmarkEnd w:id="74"/>
      <w:bookmarkStart w:id="75" w:name="_Toc15396624"/>
    </w:p>
    <w:p>
      <w:pPr>
        <w:pStyle w:val="6"/>
        <w:rPr>
          <w:rFonts w:ascii="仿宋" w:hAnsi="仿宋" w:eastAsia="仿宋"/>
          <w:color w:val="000000"/>
        </w:rPr>
      </w:pPr>
      <w:bookmarkStart w:id="76" w:name="_Toc23749"/>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75"/>
      <w:bookmarkEnd w:id="76"/>
    </w:p>
    <w:p>
      <w:pPr>
        <w:pStyle w:val="6"/>
        <w:rPr>
          <w:rFonts w:ascii="仿宋" w:hAnsi="仿宋" w:eastAsia="仿宋"/>
          <w:color w:val="000000"/>
        </w:rPr>
      </w:pPr>
      <w:bookmarkStart w:id="77" w:name="_Toc15396625"/>
      <w:bookmarkStart w:id="78" w:name="_Toc2227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77"/>
      <w:bookmarkEnd w:id="78"/>
    </w:p>
    <w:p>
      <w:pPr>
        <w:pStyle w:val="6"/>
        <w:rPr>
          <w:rFonts w:ascii="仿宋" w:hAnsi="仿宋" w:eastAsia="仿宋"/>
          <w:color w:val="000000"/>
        </w:rPr>
      </w:pPr>
      <w:bookmarkStart w:id="79" w:name="_Toc15396626"/>
      <w:bookmarkStart w:id="80" w:name="_Toc30634"/>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79"/>
      <w:bookmarkEnd w:id="80"/>
    </w:p>
    <w:p>
      <w:pPr>
        <w:pStyle w:val="6"/>
        <w:rPr>
          <w:rFonts w:ascii="仿宋" w:hAnsi="仿宋" w:eastAsia="仿宋"/>
          <w:color w:val="000000"/>
        </w:rPr>
      </w:pPr>
      <w:bookmarkStart w:id="81" w:name="_Toc15170"/>
      <w:bookmarkStart w:id="82"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81"/>
      <w:bookmarkEnd w:id="82"/>
    </w:p>
    <w:p>
      <w:pPr>
        <w:pStyle w:val="6"/>
        <w:spacing w:line="360" w:lineRule="auto"/>
        <w:rPr>
          <w:rFonts w:ascii="仿宋" w:hAnsi="仿宋" w:eastAsia="仿宋"/>
          <w:color w:val="000000"/>
        </w:rPr>
      </w:pPr>
      <w:bookmarkStart w:id="83" w:name="_Toc15396628"/>
      <w:bookmarkStart w:id="84" w:name="_Toc17603"/>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83"/>
      <w:bookmarkEnd w:id="84"/>
    </w:p>
    <w:p>
      <w:pPr>
        <w:pStyle w:val="6"/>
        <w:spacing w:line="360" w:lineRule="auto"/>
        <w:rPr>
          <w:rFonts w:ascii="仿宋" w:hAnsi="仿宋" w:eastAsia="仿宋"/>
          <w:color w:val="000000"/>
        </w:rPr>
      </w:pPr>
      <w:bookmarkStart w:id="85" w:name="_Toc15396629"/>
      <w:bookmarkStart w:id="86" w:name="_Toc7313"/>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85"/>
      <w:bookmarkEnd w:id="86"/>
    </w:p>
    <w:p>
      <w:pPr>
        <w:pStyle w:val="6"/>
        <w:rPr>
          <w:rFonts w:hint="eastAsia" w:ascii="仿宋" w:hAnsi="仿宋" w:eastAsia="仿宋"/>
          <w:b w:val="0"/>
          <w:color w:val="000000"/>
        </w:rPr>
      </w:pPr>
      <w:bookmarkStart w:id="87" w:name="_Toc9382"/>
      <w:bookmarkStart w:id="88" w:name="_Toc15396630"/>
      <w:r>
        <w:rPr>
          <w:rFonts w:hint="eastAsia" w:ascii="仿宋" w:hAnsi="仿宋" w:eastAsia="仿宋"/>
          <w:b w:val="0"/>
          <w:color w:val="000000"/>
        </w:rPr>
        <w:t>十二、政府性基金预算财政拨款“三公”经费支出决算表</w:t>
      </w:r>
      <w:bookmarkEnd w:id="87"/>
      <w:bookmarkEnd w:id="88"/>
    </w:p>
    <w:p>
      <w:pPr>
        <w:pStyle w:val="6"/>
        <w:rPr>
          <w:rFonts w:hint="eastAsia" w:ascii="仿宋" w:hAnsi="仿宋" w:eastAsia="仿宋"/>
          <w:b w:val="0"/>
          <w:color w:val="000000"/>
        </w:rPr>
      </w:pPr>
      <w:bookmarkStart w:id="89" w:name="_Toc22683"/>
      <w:r>
        <w:rPr>
          <w:rFonts w:hint="eastAsia" w:ascii="仿宋" w:hAnsi="仿宋" w:eastAsia="仿宋"/>
          <w:b w:val="0"/>
          <w:color w:val="000000"/>
        </w:rPr>
        <w:t>十三、国有资本经营预算财政拨款收入支出决算表</w:t>
      </w:r>
      <w:bookmarkEnd w:id="89"/>
    </w:p>
    <w:p>
      <w:pPr>
        <w:pStyle w:val="6"/>
        <w:rPr>
          <w:rFonts w:hint="eastAsia" w:ascii="仿宋" w:hAnsi="仿宋" w:eastAsia="仿宋"/>
          <w:b w:val="0"/>
          <w:color w:val="000000"/>
        </w:rPr>
      </w:pPr>
      <w:bookmarkStart w:id="90" w:name="_Toc10257"/>
      <w:r>
        <w:rPr>
          <w:rFonts w:hint="eastAsia" w:ascii="仿宋" w:hAnsi="仿宋" w:eastAsia="仿宋"/>
          <w:b w:val="0"/>
          <w:color w:val="000000"/>
        </w:rPr>
        <w:t>十四、国有资本经营预算财政拨款支出决算表</w:t>
      </w:r>
      <w:bookmarkEnd w:id="90"/>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A613AF5"/>
    <w:multiLevelType w:val="singleLevel"/>
    <w:tmpl w:val="DA613AF5"/>
    <w:lvl w:ilvl="0" w:tentative="0">
      <w:start w:val="2"/>
      <w:numFmt w:val="chineseCounting"/>
      <w:suff w:val="nothing"/>
      <w:lvlText w:val="（%1）"/>
      <w:lvlJc w:val="left"/>
      <w:rPr>
        <w:rFonts w:hint="eastAsia"/>
      </w:rPr>
    </w:lvl>
  </w:abstractNum>
  <w:abstractNum w:abstractNumId="2">
    <w:nsid w:val="DAF2D8F1"/>
    <w:multiLevelType w:val="singleLevel"/>
    <w:tmpl w:val="DAF2D8F1"/>
    <w:lvl w:ilvl="0" w:tentative="0">
      <w:start w:val="2"/>
      <w:numFmt w:val="chineseCounting"/>
      <w:suff w:val="nothing"/>
      <w:lvlText w:val="（%1）"/>
      <w:lvlJc w:val="left"/>
      <w:rPr>
        <w:rFonts w:hint="eastAsia"/>
      </w:rPr>
    </w:lvl>
  </w:abstractNum>
  <w:abstractNum w:abstractNumId="3">
    <w:nsid w:val="DF20EEF1"/>
    <w:multiLevelType w:val="singleLevel"/>
    <w:tmpl w:val="DF20EEF1"/>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ED9965FA"/>
    <w:multiLevelType w:val="singleLevel"/>
    <w:tmpl w:val="ED9965FA"/>
    <w:lvl w:ilvl="0" w:tentative="0">
      <w:start w:val="2"/>
      <w:numFmt w:val="decimal"/>
      <w:suff w:val="nothing"/>
      <w:lvlText w:val="（%1）"/>
      <w:lvlJc w:val="left"/>
    </w:lvl>
  </w:abstractNum>
  <w:abstractNum w:abstractNumId="6">
    <w:nsid w:val="4261AAE5"/>
    <w:multiLevelType w:val="singleLevel"/>
    <w:tmpl w:val="4261AAE5"/>
    <w:lvl w:ilvl="0" w:tentative="0">
      <w:start w:val="1"/>
      <w:numFmt w:val="chineseCounting"/>
      <w:suff w:val="nothing"/>
      <w:lvlText w:val="%1、"/>
      <w:lvlJc w:val="left"/>
      <w:rPr>
        <w:rFonts w:hint="eastAsia"/>
      </w:rPr>
    </w:lvl>
  </w:abstractNum>
  <w:abstractNum w:abstractNumId="7">
    <w:nsid w:val="5C2DAC00"/>
    <w:multiLevelType w:val="singleLevel"/>
    <w:tmpl w:val="5C2DAC00"/>
    <w:lvl w:ilvl="0" w:tentative="0">
      <w:start w:val="2"/>
      <w:numFmt w:val="chineseCounting"/>
      <w:suff w:val="nothing"/>
      <w:lvlText w:val="（%1）"/>
      <w:lvlJc w:val="left"/>
      <w:rPr>
        <w:rFonts w:hint="eastAsia"/>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6805B9"/>
    <w:rsid w:val="06D96529"/>
    <w:rsid w:val="088C046B"/>
    <w:rsid w:val="10D325DC"/>
    <w:rsid w:val="139F5AD2"/>
    <w:rsid w:val="1A2C1EC9"/>
    <w:rsid w:val="1AB81010"/>
    <w:rsid w:val="1F892CBD"/>
    <w:rsid w:val="250544CE"/>
    <w:rsid w:val="27DD7F62"/>
    <w:rsid w:val="2A9E1581"/>
    <w:rsid w:val="3015090F"/>
    <w:rsid w:val="31437140"/>
    <w:rsid w:val="31642007"/>
    <w:rsid w:val="31AD07FB"/>
    <w:rsid w:val="3E4169FF"/>
    <w:rsid w:val="42F51972"/>
    <w:rsid w:val="460D77CC"/>
    <w:rsid w:val="4B8A4969"/>
    <w:rsid w:val="4C6B7E23"/>
    <w:rsid w:val="4FD628F3"/>
    <w:rsid w:val="52086DA4"/>
    <w:rsid w:val="553D2533"/>
    <w:rsid w:val="55FF3AEF"/>
    <w:rsid w:val="5AAD53B3"/>
    <w:rsid w:val="5AFC0BDA"/>
    <w:rsid w:val="5C4C23D1"/>
    <w:rsid w:val="5D292F60"/>
    <w:rsid w:val="5D3E75DF"/>
    <w:rsid w:val="5F63711A"/>
    <w:rsid w:val="6504078C"/>
    <w:rsid w:val="6BBF7400"/>
    <w:rsid w:val="6C983357"/>
    <w:rsid w:val="6FBD3CD5"/>
    <w:rsid w:val="6FF74DC3"/>
    <w:rsid w:val="726E3979"/>
    <w:rsid w:val="73B86528"/>
    <w:rsid w:val="747DAF33"/>
    <w:rsid w:val="76E6164B"/>
    <w:rsid w:val="78F73F46"/>
    <w:rsid w:val="79FF6AB0"/>
    <w:rsid w:val="7AA11C36"/>
    <w:rsid w:val="7B5D365F"/>
    <w:rsid w:val="7BF6FFF3"/>
    <w:rsid w:val="89A59553"/>
    <w:rsid w:val="BD90203F"/>
    <w:rsid w:val="DFF26E94"/>
    <w:rsid w:val="E51A6C01"/>
    <w:rsid w:val="ECC5F01F"/>
    <w:rsid w:val="EEFFAB0E"/>
    <w:rsid w:val="F3BB11F2"/>
    <w:rsid w:val="F6978A9E"/>
    <w:rsid w:val="F7DA7093"/>
    <w:rsid w:val="FFF5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style>
  <w:style w:type="paragraph" w:styleId="3">
    <w:name w:val="Body Text Indent"/>
    <w:basedOn w:val="1"/>
    <w:qFormat/>
    <w:uiPriority w:val="0"/>
    <w:pPr>
      <w:spacing w:line="560" w:lineRule="exact"/>
      <w:ind w:firstLine="640" w:firstLineChars="200"/>
    </w:pPr>
  </w:style>
  <w:style w:type="paragraph" w:styleId="4">
    <w:name w:val="index 5"/>
    <w:basedOn w:val="1"/>
    <w:next w:val="1"/>
    <w:qFormat/>
    <w:uiPriority w:val="0"/>
    <w:pPr>
      <w:ind w:left="1680"/>
    </w:pPr>
  </w:style>
  <w:style w:type="paragraph" w:styleId="7">
    <w:name w:val="Body Text"/>
    <w:basedOn w:val="1"/>
    <w:qFormat/>
    <w:uiPriority w:val="99"/>
    <w:pPr>
      <w:spacing w:beforeLines="30"/>
    </w:pPr>
    <w:rPr>
      <w:rFonts w:ascii="仿宋_GB2312" w:eastAsia="仿宋_GB2312"/>
      <w:kern w:val="0"/>
      <w:sz w:val="24"/>
      <w:szCs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character" w:styleId="14">
    <w:name w:val="Strong"/>
    <w:basedOn w:val="15"/>
    <w:qFormat/>
    <w:uiPriority w:val="99"/>
    <w:rPr>
      <w:rFonts w:cs="Times New Roman"/>
      <w:b/>
    </w:rPr>
  </w:style>
  <w:style w:type="character" w:customStyle="1" w:styleId="15">
    <w:name w:val="NormalCharacter"/>
    <w:semiHidden/>
    <w:qFormat/>
    <w:uiPriority w:val="0"/>
  </w:style>
  <w:style w:type="character" w:styleId="16">
    <w:name w:val="Hyperlink"/>
    <w:unhideWhenUsed/>
    <w:qFormat/>
    <w:uiPriority w:val="99"/>
    <w:rPr>
      <w:color w:val="0000FF"/>
      <w:u w:val="single"/>
    </w:rPr>
  </w:style>
  <w:style w:type="character" w:customStyle="1" w:styleId="17">
    <w:name w:val=" Char Char6"/>
    <w:basedOn w:val="13"/>
    <w:link w:val="5"/>
    <w:qFormat/>
    <w:locked/>
    <w:uiPriority w:val="9"/>
    <w:rPr>
      <w:b/>
      <w:bCs/>
      <w:kern w:val="44"/>
      <w:sz w:val="44"/>
      <w:szCs w:val="44"/>
    </w:rPr>
  </w:style>
  <w:style w:type="character" w:customStyle="1" w:styleId="18">
    <w:name w:val=" Char Char5"/>
    <w:basedOn w:val="13"/>
    <w:link w:val="6"/>
    <w:qFormat/>
    <w:locked/>
    <w:uiPriority w:val="9"/>
    <w:rPr>
      <w:rFonts w:ascii="Cambria" w:hAnsi="Cambria"/>
      <w:b/>
      <w:bCs/>
      <w:sz w:val="32"/>
      <w:szCs w:val="32"/>
    </w:r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四号正文"/>
    <w:basedOn w:val="1"/>
    <w:uiPriority w:val="0"/>
    <w:pPr>
      <w:widowControl/>
      <w:spacing w:line="360" w:lineRule="auto"/>
      <w:jc w:val="left"/>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manualLayout>
                  <c:x val="0.00566679259539101"/>
                  <c:y val="-0.009933774834437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1177.2</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92670948243294"/>
                      <c:h val="0.0867549668874172"/>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1324.88</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1692482055157"/>
                      <c:h val="0.064459161147902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1177.2</c:v>
                </c:pt>
                <c:pt idx="1">
                  <c:v>1324.88</c:v>
                </c:pt>
              </c:numCache>
            </c:numRef>
          </c:val>
        </c:ser>
        <c:dLbls>
          <c:showLegendKey val="0"/>
          <c:showVal val="1"/>
          <c:showCatName val="0"/>
          <c:showSerName val="0"/>
          <c:showPercent val="0"/>
          <c:showBubbleSize val="0"/>
        </c:dLbls>
        <c:gapWidth val="219"/>
        <c:overlap val="-27"/>
        <c:axId val="438706093"/>
        <c:axId val="94184537"/>
      </c:barChart>
      <c:catAx>
        <c:axId val="4387060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84537"/>
        <c:crosses val="autoZero"/>
        <c:auto val="1"/>
        <c:lblAlgn val="ctr"/>
        <c:lblOffset val="100"/>
        <c:noMultiLvlLbl val="0"/>
      </c:catAx>
      <c:valAx>
        <c:axId val="9418453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7060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72433364145403"/>
                  <c:y val="-0.08195244847030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一般公共预算财政拨款收入, </a:t>
                    </a:r>
                    <a:r>
                      <a:rPr lang="en-US" altLang="zh-CN"/>
                      <a:t>1259.28</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39451299833389"/>
                  <c:y val="0.01690322065952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政府性基金预算财政拨款收入,</a:t>
                    </a:r>
                    <a:r>
                      <a:rPr lang="en-US" altLang="zh-CN"/>
                      <a:t>31.4</a:t>
                    </a:r>
                    <a:r>
                      <a:rPr altLang="en-US"/>
                      <a:t>万元</a:t>
                    </a:r>
                    <a:endParaRPr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1259.28</c:v>
                </c:pt>
                <c:pt idx="1">
                  <c:v>31.4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8505079825835"/>
          <c:y val="0.0067084078711985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422040551116846"/>
                  <c:y val="0.1272661423486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 </a:t>
                    </a:r>
                    <a:r>
                      <a:rPr lang="en-US" altLang="zh-CN"/>
                      <a:t>558.34</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247874987548716"/>
                  <c:y val="0.03169053590944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 </a:t>
                    </a:r>
                    <a:r>
                      <a:rPr lang="en-US" altLang="zh-CN"/>
                      <a:t>766.54</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558.34</c:v>
                </c:pt>
                <c:pt idx="1">
                  <c:v>635.48</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8082005176407"/>
          <c:y val="0.0581549035157283"/>
          <c:w val="0.884266448712709"/>
          <c:h val="0.81401004493788"/>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1177.2</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1324.88</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1177.2</c:v>
                </c:pt>
                <c:pt idx="1">
                  <c:v>1324.88</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646914589293"/>
          <c:y val="0.108379592915675"/>
          <c:w val="0.884266448712709"/>
          <c:h val="0.81401004493788"/>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1120.77</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3410969196093"/>
                      <c:h val="0.070492544057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1260.31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1120.77</c:v>
                </c:pt>
                <c:pt idx="1">
                  <c:v>1260.31</c:v>
                </c:pt>
              </c:numCache>
            </c:numRef>
          </c:val>
        </c:ser>
        <c:dLbls>
          <c:showLegendKey val="0"/>
          <c:showVal val="1"/>
          <c:showCatName val="0"/>
          <c:showSerName val="0"/>
          <c:showPercent val="0"/>
          <c:showBubbleSize val="0"/>
        </c:dLbls>
        <c:gapWidth val="219"/>
        <c:overlap val="-27"/>
        <c:axId val="756335183"/>
        <c:axId val="633250567"/>
      </c:barChart>
      <c:catAx>
        <c:axId val="756335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50567"/>
        <c:crosses val="autoZero"/>
        <c:auto val="1"/>
        <c:lblAlgn val="ctr"/>
        <c:lblOffset val="100"/>
        <c:noMultiLvlLbl val="0"/>
      </c:catAx>
      <c:valAx>
        <c:axId val="6332505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335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47429201485801"/>
                  <c:y val="-0.085377643274859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 </a:t>
                    </a:r>
                    <a:r>
                      <a:rPr lang="en-US" altLang="zh-CN"/>
                      <a:t>1206.5</a:t>
                    </a:r>
                    <a:r>
                      <a:t>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5200642054575"/>
                      <c:h val="0.22794591113973"/>
                    </c:manualLayout>
                  </c15:layout>
                </c:ext>
              </c:extLst>
            </c:dLbl>
            <c:dLbl>
              <c:idx val="1"/>
              <c:layout>
                <c:manualLayout>
                  <c:x val="-0.166198881394369"/>
                  <c:y val="0.0484911887607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卫生健康支出, </a:t>
                    </a:r>
                    <a:r>
                      <a:rPr lang="en-US" altLang="zh-CN"/>
                      <a:t>22.65</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45332848618961"/>
                  <c:y val="0.01547987616099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住房保障支出, </a:t>
                    </a:r>
                    <a:r>
                      <a:rPr lang="en-US" altLang="zh-CN"/>
                      <a:t>31.14</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1206.5</c:v>
                </c:pt>
                <c:pt idx="1">
                  <c:v>22.65</c:v>
                </c:pt>
                <c:pt idx="2">
                  <c:v>31.14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6919014084507"/>
          <c:y val="0.0082304526748971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11907198448819"/>
                  <c:y val="-0.109595959595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公务用车购置及运行维护费, </a:t>
                    </a:r>
                    <a:r>
                      <a:rPr lang="en-US" altLang="zh-CN"/>
                      <a:t>3.35</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899632487626621"/>
                  <c:y val="0.08616452154008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公务接待费, </a:t>
                    </a:r>
                    <a:r>
                      <a:rPr lang="en-US" altLang="zh-CN"/>
                      <a:t>0.5</a:t>
                    </a:r>
                    <a:r>
                      <a:t>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3.35</c:v>
                </c:pt>
                <c:pt idx="1">
                  <c:v>0.5</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2021-09-08T11:29:00Z</dcterms:created>
  <dc:creator>Administrator</dc:creator>
  <cp:lastModifiedBy>Administrator</cp:lastModifiedBy>
  <dcterms:modified xsi:type="dcterms:W3CDTF">2023-09-18T07:19:56Z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5B279F982C2A44E1B92D22E896EAB628</vt:lpwstr>
  </property>
</Properties>
</file>